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CASE OF BARTOK AND OTHERS V. ROMANIA (2016)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Съдът припомня, че разумността на продължителността на производството трябва да се преценява в светлината на обстоятелствата по делото и с позоваване на следните критерии: сложността на делото, поведението на жалбоподателите и на съответните власти, както и какво е било заложено на карта за жалбоподателите в спора. След като разгледа всички представени му материали, Съдът не намира никакъв факт или довод, който да го убеди да достигне до различен извод относно допустимостта и основателността на тези жалби. Като взема предвид своята съдебна практика по въпроса, Съдът счита, че в настоящия случай продължителността на производството е била прекомерна и не е отговаряла на изискването за „разумен срок“. Приема, че тези жалби разкриват нарушение на член 6 § 1 от Конвенцията относно прекомерната продължителност на наказателните производства.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ПРОЦЕДУРА</w:t>
        <w:tab/>
        <w:br/>
        <w:tab/>
        <w:t xml:space="preserve">1. Делото е образувано по жалби срещу Румъния, подадени в Съда съгласно член 34 от Конвенцията за защита на правата на човека и основните свободи („Конвенцията“) на различните дати, посочени в приложената таблица.</w:t>
        <w:tab/>
        <w:br/>
        <w:tab/>
        <w:t xml:space="preserve">2. Жалбите са съобщени на румънското правителство („Правителството“).</w:t>
        <w:tab/>
        <w:br/>
        <w:tab/>
        <w:t xml:space="preserve">ФАКТИТЕ</w:t>
        <w:tab/>
        <w:br/>
        <w:tab/>
        <w:t xml:space="preserve">3. Списъкът на жалбоподателите и съответните подробности по жалбите са посочени в приложената таблица.</w:t>
        <w:tab/>
        <w:br/>
        <w:tab/>
        <w:t xml:space="preserve">4. Жалбоподателите се оплакват от прекомерната продължителност на наказателните производства.</w:t>
        <w:tab/>
        <w:br/>
        <w:tab/>
        <w:t xml:space="preserve">ПРАВОТОI. ОБЕДИНЯВАНЕ НА ЖАЛБИТЕ</w:t>
        <w:tab/>
        <w:br/>
        <w:tab/>
        <w:t xml:space="preserve">5. Като взема предвид сходния предмет на жалбите, Съдът счита за целесъобразно да ги разгледа съвместно в едно решение.</w:t>
        <w:tab/>
        <w:br/>
        <w:tab/>
        <w:t xml:space="preserve">II. ТВЪРДЯНО НАРУШЕНИЕ НА ЧЛЕН 6 § 1 ОТ КОНВЕНЦИЯТА</w:t>
        <w:tab/>
        <w:br/>
        <w:tab/>
        <w:t xml:space="preserve">6. Жалбоподателите се оплакват, че продължителността на въпросните наказателни производства е несъвместима с изискването за „разумен срок“. Те се позовават на член 6 § 1 от Конвенцията, който гласи следното:</w:t>
        <w:tab/>
        <w:br/>
        <w:tab/>
        <w:t xml:space="preserve">„При определянето на ... каквото и да е наказателно обвинение срещу него, всеки има право на ... разглеждане в разумен срок от ... съд ...“</w:t>
        <w:tab/>
        <w:br/>
        <w:tab/>
        <w:t xml:space="preserve">7. Съдът припомня, че разумността на продължителността на производството трябва да се преценява в светлината на обстоятелствата по делото и с позоваване на следните критерии: сложността на делото, поведението на жалбоподателите и на съответните власти, както и какво е било заложено на карта за жалбоподателите в спора (вж., наред с много други решения, Pélissier и Sassi срещу Франция [ГК], № 25444/94, § 67, ECHR 1999II, и Frydlender срещу Франция [ГК], № 30979/96, § 43, ECHR 2000VII).</w:t>
        <w:tab/>
        <w:br/>
        <w:tab/>
        <w:t xml:space="preserve">8. По водещото дело Влад и други срещу Румъния, №№ 40756/06, 41508/07 и 50806/07, 26 ноември 2013 г., Съдът вече установи нарушение по въпроси, подобни на тези по настоящото дело.</w:t>
        <w:tab/>
        <w:br/>
        <w:tab/>
        <w:t xml:space="preserve">9. След като разгледа всички представени му материали, Съдът не намира никакъв факт или довод, който да го убеди да достигне до различен извод относно допустимостта и основателността на тези жалби. Като взема предвид своята съдебна практика по въпроса, Съдът счита, че в настоящия случай продължителността на производството е била прекомерна и не е отговаряла на изискването за „разумен срок“.</w:t>
        <w:tab/>
        <w:br/>
        <w:tab/>
        <w:t xml:space="preserve">10. Следователно тези жалби са допустими и разкриват нарушение на член 6 § 1 от Конвенцията.</w:t>
        <w:tab/>
        <w:br/>
        <w:tab/>
        <w:t xml:space="preserve">III. ПРИЛОЖЕНИЕ НА ЧЛЕН 41 ОТ КОНВЕНЦИЯТА</w:t>
        <w:tab/>
        <w:br/>
        <w:tab/>
        <w:t xml:space="preserve">11. Член 41 от Конвенцията предвижда:</w:t>
        <w:tab/>
        <w:br/>
        <w:tab/>
        <w:t xml:space="preserve">„Ако Съдът установи, че е налице нарушение на Конвенцията или на Протоколите към нея, и ако вътрешното законодателство на засегнатата Високодоговаряща страна позволява само частично обезщетение, Съдът при необходимост предоставя справедливо обезщетение на увредената страна.“</w:t>
        <w:tab/>
        <w:br/>
        <w:tab/>
        <w:t xml:space="preserve">12. Като взема предвид документите, с които разполага, и своята съдебна практика, Съдът намира за разумно да присъди сумите, посочени в приложената таблица.</w:t>
        <w:tab/>
        <w:br/>
        <w:tab/>
        <w:t xml:space="preserve">13. Съдът счита за уместно лихвеният процент за забава да се основава на пределния лихвен процент по заеми на Европейската централна банка, към който да се добавят три процентни пункта.</w:t>
        <w:tab/>
        <w:br/>
        <w:tab/>
        <w:t xml:space="preserve">ПО ТЕЗИ ПРИЧИНИ, СЪДЪТ, ЕДИНОДУШНО,</w:t>
        <w:tab/>
        <w:br/>
        <w:tab/>
        <w:t xml:space="preserve">1. Решава да обедини жалбите;</w:t>
        <w:tab/>
        <w:br/>
        <w:tab/>
        <w:t xml:space="preserve">2. Обявява жалбите за допустими;</w:t>
        <w:tab/>
        <w:br/>
        <w:tab/>
        <w:t xml:space="preserve">3. Приема, че тези жалби разкриват нарушение на член 6 § 1 от Конвенцията относно прекомерната продължителност на наказателните производства;</w:t>
        <w:tab/>
        <w:br/>
        <w:tab/>
        <w:t xml:space="preserve">4. Постановява</w:t>
        <w:tab/>
        <w:br/>
        <w:tab/>
        <w:t xml:space="preserve">(а) че държавата ответник трябва да изплати на жалбоподателите, в срок от три месеца, сумите, посочени в приложената таблица, които да бъдат конвертирани във валутата на държавата ответник по курса, приложим към датата на уреждане;</w:t>
        <w:tab/>
        <w:br/>
        <w:tab/>
        <w:t xml:space="preserve">(б) че от изтичането на горепосочения тримесечен срок до уреждането на тези суми се дължи проста лихва в размер, равен на пределния лихвен процент по заеми на Европейската централна банка през периода на забава плюс три процентни пункта.</w:t>
        <w:tab/>
        <w:br/>
        <w:tab/>
        <w:t xml:space="preserve">Изготвено на английски език и нотифицирано писмено на 6 октомври 2016 г., съгласно правило 77, §§ 2 и 3 от Правилника на Съда.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