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№433/31.01.2024 по ч.гр.д. №139/2024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433/31.01.2024 г.Върховен касационен съд на Република България, Гражданска колегия, Четвърто отделение в закритото съдебно заседание на тридесет и първи януари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139по описа за 2024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1903/29.06.2023 г., с което е допълнено в частта по разноските определение № 1135/16.05.2023 г. по гр. д. № 594/2023 г. на Върховен касационен съд, Трето гражданско отделение.</w:t>
        <w:tab/>
        <w:br/>
        <w:tab/>
        <w:t xml:space="preserve"/>
        <w:tab/>
        <w:br/>
        <w:tab/>
        <w:t xml:space="preserve">Определението се обжалва от касатора Б. С. С.. Направено е и искане за допускане до системата за правна помощ чрез процесуално представителство.</w:t>
        <w:tab/>
        <w:br/>
        <w:tab/>
        <w:t xml:space="preserve"/>
        <w:tab/>
        <w:br/>
        <w:tab/>
        <w:t xml:space="preserve">Ответниците по касация, ответници и по частната жалба 47-мо СУ „Христо Г. Данов“ и 120-то ОУ „Георги С. Раковски“, възразяват, че е с недопустим предмет. Вторият от тях претендира разноски.</w:t>
        <w:tab/>
        <w:br/>
        <w:tab/>
        <w:t xml:space="preserve"/>
        <w:tab/>
        <w:br/>
        <w:tab/>
        <w:t xml:space="preserve">Настоящият състав констатира, че на жалбоподателя/касатор/ищец е предоставена правна помощ чрез процесуално представителство и адв. А. Ч. е назначеният особен представител (така разпореждане № 20166692/02.08.2021 г. по гр. д. № 231/2020 г. на Софийски районен съд). Повторното искане не е пречка за разглеждането на частната жалба</w:t>
        <w:tab/>
        <w:br/>
        <w:tab/>
        <w:t xml:space="preserve"/>
        <w:tab/>
        <w:br/>
        <w:tab/>
        <w:t xml:space="preserve">Тя обаче е с недопустим предмет. С определението е допълнено в частта по разноските определението по чл. 288 ГПК, с което предходният състав на Върховния касационен съд не допуска въззивното решение до касационно обжалване. Определението по разноските може да се обжалва по реда, по който може да се обжалва изменения/допълнения краен акт – така чл. 248, ал. 3, изр. 2 ГПК Определението по чл. 288 ГПК обаче не подлежи на обжалване, а това изключва обжалваемостта и на определението за допълването му в частта по разноските.</w:t>
        <w:tab/>
        <w:br/>
        <w:tab/>
        <w:t xml:space="preserve"/>
        <w:tab/>
        <w:br/>
        <w:tab/>
        <w:t xml:space="preserve">При този изход и съгласно чл. 78, ал. 4 ГПК, в тежест на жалбоподателя са разноските в настоящото производство, направени от втория ответник. Те се изразяват в уговореното и заплатено адвокатско възнаграждение.</w:t>
        <w:tab/>
        <w:br/>
        <w:tab/>
        <w:t xml:space="preserve"/>
        <w:tab/>
        <w:br/>
        <w:tab/>
        <w:t xml:space="preserve">При тези мотиви, съдътОПРЕДЕЛИ :ОСТАВЯ БЕЗ РАЗГЛЕЖДАНЕ частната жалба на Б. С. С. срещу определение № 1903/29.06.2023 г. за допълване в частта по разноските на определение № 1135/16.05.2023 г. по гр. д. № 594/2023 г. на Върховен касационен съд, Гражданска колегия, Трето отделение. </w:t>
        <w:tab/>
        <w:br/>
        <w:tab/>
        <w:t xml:space="preserve"/>
        <w:tab/>
        <w:br/>
        <w:tab/>
        <w:t xml:space="preserve">ОСЪЖДА Б. С. С. да заплати на 120-то ОУ „Георги С. Раковски“ на основание чл. 78, ал. 4 ГПК сумата 500.00 лв. – разноски в настоящото производство. </w:t>
        <w:tab/>
        <w:br/>
        <w:tab/>
        <w:t xml:space="preserve"/>
        <w:tab/>
        <w:br/>
        <w:tab/>
        <w:t xml:space="preserve">Определението може да се обжалва в първата част от С. с частна жалба пред друг състав на Върховния касационен съд в 1-седмичен срок от връчването на преписа.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