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№1484/28.03.2024 по гр. д. №729/2024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1484</w:t>
        <w:tab/>
        <w:br/>
        <w:tab/>
        <w:t xml:space="preserve"/>
        <w:tab/>
        <w:br/>
        <w:tab/>
        <w:t xml:space="preserve"> София, 28.03.2024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осми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 ЕМИЛ ТОМОВ 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</w:t>
        <w:tab/>
        <w:br/>
        <w:tab/>
        <w:t xml:space="preserve"/>
        <w:tab/>
        <w:br/>
        <w:tab/>
        <w:t xml:space="preserve"> гр. дело №729/2024 г.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 288 ГПК .</w:t>
        <w:tab/>
        <w:br/>
        <w:tab/>
        <w:t xml:space="preserve"/>
        <w:tab/>
        <w:br/>
        <w:tab/>
        <w:t xml:space="preserve"> Образувано е по касационна жалба на А. Е. Х.,чрез пълномощник адв. А. П. от АК Пазарджик, срещу решение №403 от 23.11.2023г по в. гр. д № 483/2023 г на Окръжен съд - Пазарджик, постановено в спор между родители на малолетно дете по чл. 127 СК </w:t>
        <w:tab/>
        <w:br/>
        <w:tab/>
        <w:t xml:space="preserve"/>
        <w:tab/>
        <w:br/>
        <w:tab/>
        <w:t xml:space="preserve"> Постъпила е молба от касаторкатата А. Е. Х.,чрез пълномощник адв. А. П. с вх.№2673/20.03.2024г по описа на ОС Пазарджик, изпратена служебно по компетентност на настоящия съд, с която касационната жалба се оттегля, с искане производството по нея да се прекрати. </w:t>
        <w:tab/>
        <w:br/>
        <w:tab/>
        <w:t xml:space="preserve"/>
        <w:tab/>
        <w:br/>
        <w:tab/>
        <w:t xml:space="preserve"> Предвид волята на обжалвалата страна да десезира настоящата инстанция , </w:t>
        <w:tab/>
        <w:br/>
        <w:tab/>
        <w:t xml:space="preserve"/>
        <w:tab/>
        <w:br/>
        <w:tab/>
        <w:t xml:space="preserve"> Върховният касационе н съд, ІІІ гр.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Прекратява производството по гр. дело № 729/24г. по описа на Трето г. о.на ВКС.</w:t>
        <w:tab/>
        <w:br/>
        <w:tab/>
        <w:t xml:space="preserve"/>
        <w:tab/>
        <w:br/>
        <w:tab/>
        <w:t xml:space="preserve"> Определението подлежи на обжалване с частна жалба в седмичен срок от връчването му на страните, пред друг състав на ВКС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