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№1056/17.08.2017 по адм. д. №7989/2016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Т. М. Т., [населено място], [улица] срещу Решение №2839 от 25.04.2016 г. на Административен съд, София град, постановено по административно дело №7647/2015 г.</w:t>
        <w:tab/>
        <w:br/>
        <w:tab/>
        <w:t xml:space="preserve">С обжалваното решение съдът отхвърля жалбата на г-н Т. срещу Решение №119 от 30.04.2015 г. на председателя на Патентното ведомство на Р. Б, с което е отхвърлено искането му за заличаване на регистрацията на промишлен дизайн, регистров № [номер] , мотокар, собственост на [фирма]. І. Становища на страните:</w:t>
        <w:tab/>
        <w:br/>
        <w:tab/>
        <w:t xml:space="preserve">1. Касационният жалбоподател - Т. М. Т., счита обжалваното решение за неправилно, постановено при съществени нарушения на съдопроизводствените правила и в нарушение на материалния закон – отменителни основания по чл.209, т. 3 АПК.</w:t>
        <w:tab/>
        <w:br/>
        <w:tab/>
        <w:t xml:space="preserve">Съдът неправилно е приложил чл. 29, ал. 1, т. 1 във вр. с чл. 11, ал. 1 във вр. с чл. 12, ал. 1 от ЗПД (ЗАКОН ЗЗД ПРОМИШЛЕНИЯ ДИЗАЙН) (ЗПрД) като не е ценил правилно доказателствата по делото. Не е отчел безспорно доказаното по делото производство на мотокар с висока проходимост, модел [модел], от [фирма] още през 2010 г., чието създаване е възложено на Т. М. Т. в качеството му на търговски директор на дружеството. Не е отчел, че мотокари [модел] са били търгувани много повече от 12 месеца преди датата на заявяване на промишлен дизайн № [номер] . С оглед на това промишлен дизайн регистров № [номер]</w:t>
        <w:tab/>
        <w:br/>
        <w:tab/>
        <w:t xml:space="preserve">не е нов и не е оригинален. Тези обстоятелства сочи, че са потвърдени от Решение №163 от 14.05.2014 г. на председателя на Патентно ведомство, с което е заличен промишлен дизайн регистров № [номер]</w:t>
        <w:tab/>
        <w:br/>
        <w:tab/>
        <w:t xml:space="preserve">. Съдът не обсъдил и доказателството, установяващо известност на мотокар [модел], който е идентичен с регистрирания.</w:t>
        <w:tab/>
        <w:br/>
        <w:tab/>
        <w:t xml:space="preserve">Прави анализ на заключението на приетата по делото експертиза и сочи, че вещото лице е некомпетентно и заинтересовано. Вещото лице некомпетентно не отчело, че информирания потребител е заблуден и счита визията на двата процесни дизайна за идентични. Доказани обстоятелства, за които липсват мотиви в съдебното решение, са фактите свързани с Международния технически панаир в [населено място] и щанда на [фирма].</w:t>
        <w:tab/>
        <w:br/>
        <w:tab/>
        <w:t xml:space="preserve">Съдът не отчел, че за приложимостта на чл. 29, ал. 2, т. 1 ЗПрД е важно и по делото е доказано, че мотокара [модел] е разработен с авторски труд на Т. М. Т. още през февруари 2010 г. в хипотезата на чл. 41, ал. 1 от ЗАПСП (ЗАКОН ЗЗД АВТОРСКОТО ПРАВО И СРОДНИТЕ МУ ПРАВА) (ЗАПСП).</w:t>
        <w:tab/>
        <w:br/>
        <w:tab/>
        <w:t xml:space="preserve">Сочи, че съдът не е коментирал в детайли неправилния фактически, а оттам и правен извод на Патентното ведомство, че документите от Д1 не доказват наличие на известен дизайн, станал общодостъпен преди 30.10.2013 г., и наличието на авторство по отношение на Т. М. Т.. Неправилен счита извода, че не може да се установи връзка между документите от Д1 и фактура №690. Необсъдени от съда счита и документите от Д6, които не са „частни документи, които изхождат от жалбоподателя“, а статии от печатни и онлайн издания, чиято обективност е вън от съмнение. Съдът не обсъдил и Решение №163 на Патентното ведомство. Не е коментирал и противоречието в двете експертизи на вещото лице. Прави анализ на формообразуващите елементи на мотокарите и прави извод за идентичност на цялостното им възприятие.</w:t>
        <w:tab/>
        <w:br/>
        <w:tab/>
        <w:t xml:space="preserve">Моли съда да отмени обжалваното решение и да постанови друго, с което да отмени Решение №119 на председателя на Патентното ведомство. Претендира направените по делото разноски. Касаторът се представлява от адв. В. Д., Адвокатска колегия, [населено място].</w:t>
        <w:tab/>
        <w:br/>
        <w:tab/>
        <w:t xml:space="preserve">2. Ответникът по касационната жалба – председателят на Патентното ведомство, не взема становище.</w:t>
        <w:tab/>
        <w:br/>
        <w:tab/>
        <w:t xml:space="preserve">3. Ответникът по касационната жалба – [фирма], счита същата за неоснователна. Сочи, че твърдяната в касационната жалба фактическа обстановка по никакъв начин не може да се свърже с конкретни визии на противопоставими мотокари. Единственото, което може да се приеме за доказано в периода, предшестващ заявяването на атакувания промишлен дизайн, е, че има търговия с мотокари от фирма [фирма]. Какви обаче са били тези мотокари и по-точно какъв е бил дизайнът им към определения минал момент изобщо не става ясно.</w:t>
        <w:tab/>
        <w:br/>
        <w:tab/>
        <w:t xml:space="preserve">Сочи, че вещото лице не може да отговори дали има обективни данни информираният потребител да се заблуди относно оригиналността на процесния дизайн. Вещото лице може да каже дали един дизайн е нов и оригинален като го сравнява с друг. Вещото лице не може да цени доказателствата и дали нещо представлява обективни данни или не.</w:t>
        <w:tab/>
        <w:br/>
        <w:tab/>
        <w:t xml:space="preserve">Неоснователни счита и доводите за допуснати от съда съществени нарушения на съдопроизводствените правила. Съдът е ценил представените частни документи и правилно приема, че те не могат да докажат създаването на дизайна от г-н Т.. Съдът е предоставил на касатора възможност да задава всякакви въпроси на вещото лице, макар релевантни да са само тези, които са свързани с новост и оригиналност.</w:t>
        <w:tab/>
        <w:br/>
        <w:tab/>
        <w:t xml:space="preserve">Моли съда да остави в сила обжалваното решение. Претендира направените по делото разноски. Ответникът се представлява от адв. М. В. и адв. С. Г..</w:t>
        <w:tab/>
        <w:br/>
        <w:tab/>
        <w:t xml:space="preserve">4. Представителят на Върховната административна прокуратура дава заключение за неоснователност на касационната жалба. Съдът е обсъдил представените доказателства, изяснил е релевантните факти, за приетото фактически и правно се е обосновал. Мотивираният извод на съда е законосъобразност на Решение №119, с което е отхвърлено искането на Т. М. Т. за заличаване на регистрацията на промишлен дизайн, регистров № [номер]</w:t>
        <w:tab/>
        <w:br/>
        <w:tab/>
        <w:t xml:space="preserve">, с притежател [фирма], тъй като регистрираният дизайн е различен – нов и оригинален от заявения от Т. и съдържа елементи, които формират цялостно различно впечатление у потребителя.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допустима,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ІІІ. Фактите по делото:</w:t>
        <w:tab/>
        <w:br/>
        <w:tab/>
        <w:t xml:space="preserve">За да постанови обжалваното решение съдът приема от фактическа страна, че:</w:t>
        <w:tab/>
        <w:br/>
        <w:tab/>
        <w:t xml:space="preserve">1. Промишлен дизайн на продукт мотокар, регистров №</w:t>
        <w:tab/>
        <w:br/>
        <w:tab/>
        <w:t xml:space="preserve">[номер]</w:t>
        <w:tab/>
        <w:br/>
        <w:tab/>
        <w:t xml:space="preserve">, е с притежател [фирма], дата на заявяване – 30.10.2013 г., дата на регистрация – 19.04.2014 г., публикуван в бр. 4/2014 г. на Официалния бюлетин на Патентното ведомство; защитен до 30.10.2023 г. и е изобразен по следния начин:</w:t>
        <w:tab/>
        <w:br/>
        <w:tab/>
        <w:t xml:space="preserve"/>
        <w:tab/>
        <w:br/>
        <w:tab/>
        <w:t xml:space="preserve">За автор на дизайна е посочен И. Г. П.. Мотокарът е решен изцяло в червен цвят.</w:t>
        <w:tab/>
        <w:br/>
        <w:tab/>
        <w:t xml:space="preserve">2. Т. М. Т. твърди, че е автор на дизайн на мотокар [модел], създаден в рамките на трудовото му правоотношение с [фирма]. Първият произведен мотокар [модел] бил от 2010 г., а в периода 2010 – 2012 г. [фирма] продал 3 броя.</w:t>
        <w:tab/>
        <w:br/>
        <w:tab/>
        <w:t xml:space="preserve">3. На 04.06.2014 г. Т. М. Т. подава в Патентното ведомство искане за заличаване на регистрацията на промишлен дизайн, регистров №</w:t>
        <w:tab/>
        <w:br/>
        <w:tab/>
        <w:t xml:space="preserve">[номер]</w:t>
        <w:tab/>
        <w:br/>
        <w:tab/>
        <w:t xml:space="preserve">, мотокар, на основание чл. 29, ал. 1, т. 1 във вр с чл. 11, ал. 1 ЗПрД и на основание чл. 29, ал. 2, т. 1 във вр. с чл. 41, ал. 1 ЗАПСП. Към искането е представил:</w:t>
        <w:tab/>
        <w:br/>
        <w:tab/>
        <w:t xml:space="preserve">а) Д1 - договор от 08.02.2010 г. между [фирма], в качеството му на работодател, и Т. М. Т., в качеството му на работник, за изработка на дизайн на мотокар с висока проходимост модел [модел]/[модел] в условията на чл. 41, ал. 1 ЗАПСП;</w:t>
        <w:tab/>
        <w:br/>
        <w:tab/>
        <w:t xml:space="preserve">б) Д1 - протокол от 10.03.2010 г. за предаване на „копия на дизайн, съгласно договор за изработка на мотокар от 08.02.2010 г.“ – „художествен проект за мотокар висока проходимост модел [модел]/ [модел];</w:t>
        <w:tab/>
        <w:br/>
        <w:tab/>
        <w:t xml:space="preserve">в) Д1 – договор от 10.02.2010 г. между Т. М. Т., в качеството му на автор-доверител, и [фирма] – довереник, с предмет „да бъде преработено в електронен и хартиен вариант произведение на графичния дизайн, касаещо идеен проект, скици и изображение на мотокар висока проходимост“ при условията на чл. 42, ал. 1 ЗАПСП;</w:t>
        <w:tab/>
        <w:br/>
        <w:tab/>
        <w:t xml:space="preserve">г) Д1 - приемо-предавателен протокол от 08.03.2010 г. между Т. М. Т. и [фирма] за предаване на „произведение на графичния дизайн, касаещо завършена визия мотокар с висока проходимост, които ще бъдат използвани за заявяването им като промишлен дизайн в Патентно ведомство и промишлено приложение от фирма</w:t>
        <w:tab/>
        <w:br/>
        <w:tab/>
        <w:t xml:space="preserve">[фирма]</w:t>
        <w:tab/>
        <w:br/>
        <w:tab/>
        <w:t xml:space="preserve">;</w:t>
        <w:tab/>
        <w:br/>
        <w:tab/>
        <w:t xml:space="preserve">д) Д2 – „Авторски продукт – мотокари с висока проходимост, 5 -7 т“, съдържащ два дизайна на мотокар, представени с едно графично и едно фотографско изображение; нотариално заверен на 13.02.2013 г.;</w:t>
        <w:tab/>
        <w:br/>
        <w:tab/>
        <w:t xml:space="preserve">е) Д3 – потвърждение за доставка в [населено място], Обединени арабски емирства на мотокар [модел], съдържащо изображение на мотокар, копие с превод; копие на фактура №88 от 23.06.2010 г., издадена от [фирма] за покупка от</w:t>
        <w:tab/>
        <w:br/>
        <w:tab/>
        <w:t xml:space="preserve">[фирма]</w:t>
        <w:tab/>
        <w:br/>
        <w:tab/>
        <w:t xml:space="preserve">на [модел];</w:t>
        <w:tab/>
        <w:br/>
        <w:tab/>
        <w:t xml:space="preserve">ж) Д4 – потвърждение за доставка в [населено място], Руската федерация, на мотокар [модел], съдържащо изображение на мотокар, копие с превод; копие на фактура №227 от 18.08.2011 г., издадена от [фирма] за покупка от [фирма] на „автопогрузчики“</w:t>
        <w:tab/>
        <w:br/>
        <w:tab/>
        <w:t xml:space="preserve">[модел]</w:t>
        <w:tab/>
        <w:br/>
        <w:tab/>
        <w:t xml:space="preserve">(4х4х4) - 0911070019;</w:t>
        <w:tab/>
        <w:br/>
        <w:tab/>
        <w:t xml:space="preserve">з) Д5 – копие на фактура №229 от 16.02.2012 г., издадена от [фирма] за покупка от</w:t>
        <w:tab/>
        <w:br/>
        <w:tab/>
        <w:t xml:space="preserve">[фирма]</w:t>
        <w:tab/>
        <w:br/>
        <w:tab/>
        <w:t xml:space="preserve">на</w:t>
        <w:tab/>
        <w:br/>
        <w:tab/>
        <w:t xml:space="preserve">[модел]</w:t>
        <w:tab/>
        <w:br/>
        <w:tab/>
        <w:t xml:space="preserve">, сериен №</w:t>
        <w:tab/>
        <w:br/>
        <w:tab/>
        <w:t xml:space="preserve">[номер]</w:t>
        <w:tab/>
        <w:br/>
        <w:tab/>
        <w:t xml:space="preserve">;</w:t>
        <w:tab/>
        <w:br/>
        <w:tab/>
        <w:t xml:space="preserve">и) Д6 – писмо от 27.05.2014 г. на фирма</w:t>
        <w:tab/>
        <w:br/>
        <w:tab/>
        <w:t xml:space="preserve">[фирма]</w:t>
        <w:tab/>
        <w:br/>
        <w:tab/>
        <w:t xml:space="preserve">, копие с превод;</w:t>
        <w:tab/>
        <w:br/>
        <w:tab/>
        <w:t xml:space="preserve">й) Д7 – Решение №163 от 15.05.2014 г. на председателя на Патентното ведомство;</w:t>
        <w:tab/>
        <w:br/>
        <w:tab/>
        <w:t xml:space="preserve">к) Д8- разпечатка от 14.03.2014 г. от Интернет на статии от сп. „С.“: от 02.06.2014 г. на бр. 4, без дата на публикация, и на бр. 5 от 2010 г., съдържащи изображения на мотокар;</w:t>
        <w:tab/>
        <w:br/>
        <w:tab/>
        <w:t xml:space="preserve">л) Д9 – фактура №690 от 28.03.2011 г., издадена от [фирма] с получател [фирма];</w:t>
        <w:tab/>
        <w:br/>
        <w:tab/>
        <w:t xml:space="preserve">м) Д10 – сравнителен анализ.</w:t>
        <w:tab/>
        <w:br/>
        <w:tab/>
        <w:t xml:space="preserve">4. На 15.07.2014 г., със Заповед №298, председателят на Патентното ведомство назначава състав за разглеждане на искането.</w:t>
        <w:tab/>
        <w:br/>
        <w:tab/>
        <w:t xml:space="preserve">5. На 15.10.2014 г. [фирма] подава възражение срещу искането за заличаване.</w:t>
        <w:tab/>
        <w:br/>
        <w:tab/>
        <w:t xml:space="preserve">6. На 30.04.2015 г. съставът по искането за заличаване представя становище, с което предлага да се отхвърли като неоснователно искането за заличаване на промишлен дизайн, регистров №</w:t>
        <w:tab/>
        <w:br/>
        <w:tab/>
        <w:t xml:space="preserve">[номер]</w:t>
        <w:tab/>
        <w:br/>
        <w:tab/>
        <w:t xml:space="preserve">, мотокар, с притежател [фирма].</w:t>
        <w:tab/>
        <w:br/>
        <w:tab/>
        <w:t xml:space="preserve">7. На 30.04.2015 г., с Решение №119, председателят на Патентното ведомство, на основание чл. 29, ал. 1, т. 1 и чл. 29, ал. 2, т. 1 във вр. с чл. 45, ал. 2 и 7 ЗПрД, отхвърля като неоснователно искането за заличаване на промишлен дизайн, регистров №</w:t>
        <w:tab/>
        <w:br/>
        <w:tab/>
        <w:t xml:space="preserve">[номер]</w:t>
        <w:tab/>
        <w:br/>
        <w:tab/>
        <w:t xml:space="preserve">, мотокар, с притежател [фирма]. Органът приема, че са налице разлики между представения с фотографско изображение от Д2 обект на авторско право „дизайн на мотокар“ и регистрирания дизайн, поради което няма основание за приложение на чл. 29, ал. 2, т. 1 ЗПрД. Органът приема, че представените доказателства не представят информация за известен дизайн, станал общодостъпен преди датата на подаване на заявката, който е идентичен на атакувания, или създава цялостно впечатление в информирания потребител еднакво с цялостното впечатление, което създава атакуваният дизайн, поради което дизайн, регистров №</w:t>
        <w:tab/>
        <w:br/>
        <w:tab/>
        <w:t xml:space="preserve">[номер]</w:t>
        <w:tab/>
        <w:br/>
        <w:tab/>
        <w:t xml:space="preserve">, се счита за нов и оригинален към датата на подаване на заявката за регистрация.</w:t>
        <w:tab/>
        <w:br/>
        <w:tab/>
        <w:t xml:space="preserve">8. В хода на съдебното производство Т. М. Т. представя:</w:t>
        <w:tab/>
        <w:br/>
        <w:tab/>
        <w:t xml:space="preserve">а) копие от фактура №227 от 18.08.2011 г.;</w:t>
        <w:tab/>
        <w:br/>
        <w:tab/>
        <w:t xml:space="preserve">б) разпечатка от кореспонденция по електронен път между Т. М. Т. и [фирма] с три броя снимки;</w:t>
        <w:tab/>
        <w:br/>
        <w:tab/>
        <w:t xml:space="preserve">в) копие от договор №010811966/0097/09/2012 между [фирма] и [фирма];</w:t>
        <w:tab/>
        <w:br/>
        <w:tab/>
        <w:t xml:space="preserve">г) копие от фактура №26454 от 13.11.2012 г. с издател [фирма] и снимка;</w:t>
        <w:tab/>
        <w:br/>
        <w:tab/>
        <w:t xml:space="preserve">д) копие от контролен лист за мотокар [модел], приложен в съдебно-техническа експертиза по следствено дело №102/2013 г. на Окръжна прокуратура Пловдив;</w:t>
        <w:tab/>
        <w:br/>
        <w:tab/>
        <w:t xml:space="preserve">е) разпечатка от руски интернет сайт за реклама със снимки на мотокари [модел] с превод;</w:t>
        <w:tab/>
        <w:br/>
        <w:tab/>
        <w:t xml:space="preserve">ж) писмо от 02.06.2014 г. от фирма [фирма];</w:t>
        <w:tab/>
        <w:br/>
        <w:tab/>
        <w:t xml:space="preserve">з) снимки на мотокар [модел] със сериен №</w:t>
        <w:tab/>
        <w:br/>
        <w:tab/>
        <w:t xml:space="preserve">[номер]</w:t>
        <w:tab/>
        <w:br/>
        <w:tab/>
        <w:t xml:space="preserve">от Международния технически панаир, [населено място];</w:t>
        <w:tab/>
        <w:br/>
        <w:tab/>
        <w:t xml:space="preserve">и) копие от страница на каталог на [фирма] със снимка на мотокар [модел];</w:t>
        <w:tab/>
        <w:br/>
        <w:tab/>
        <w:t xml:space="preserve">й) копие от договор №024/124-HMT-50-DR/11-11 между [фирма] и [фирма];</w:t>
        <w:tab/>
        <w:br/>
        <w:tab/>
        <w:t xml:space="preserve">к) копие от искова молба до Софийски градски съд от Т. М. Т. срещу [фирма] от 30.09.2013 г.</w:t>
        <w:tab/>
        <w:br/>
        <w:tab/>
        <w:t xml:space="preserve">9. В хода на съдебното производство [фирма] представя:</w:t>
        <w:tab/>
        <w:br/>
        <w:tab/>
        <w:t xml:space="preserve">а) трудов договор №136 от 30.11.2011 г. между [фирма] и Т. М. Т. за длъжността „ръководител обособено производство“</w:t>
        <w:tab/>
        <w:br/>
        <w:tab/>
        <w:t xml:space="preserve">б) допълнително споразумение от 01.12.2011 г. към трудов договор №136 относно задълженията на работника за конфиденциалност;</w:t>
        <w:tab/>
        <w:br/>
        <w:tab/>
        <w:t xml:space="preserve">в) длъжностна характеристика на длъжността „ръководител обособено производство“;</w:t>
        <w:tab/>
        <w:br/>
        <w:tab/>
        <w:t xml:space="preserve">г) трудов договор №130 от 07.11.2011 г. между [фирма] и М. Т. Т. за длъжността „началник производство“;</w:t>
        <w:tab/>
        <w:br/>
        <w:tab/>
        <w:t xml:space="preserve">д) допълнително споразумение от 08.11.2011 г. към трудов договор №130 относно задълженията на работника за конфиденциалност;</w:t>
        <w:tab/>
        <w:br/>
        <w:tab/>
        <w:t xml:space="preserve">е) длъжностна характеристика на длъжността „началник производство“;</w:t>
        <w:tab/>
        <w:br/>
        <w:tab/>
        <w:t xml:space="preserve">10. В хода на съдебното производство съдът приема заключение на съдебна експертиза – основно и допълнително, която дава заключение, че установените съществени разлики между двата мотокара, които определят техния различен външен вид и водят до различно цялостно впечатление, обосновават извод за неидентичност.</w:t>
        <w:tab/>
        <w:br/>
        <w:tab/>
        <w:t xml:space="preserve">ІV. Първоинстанционното съдебно решение:</w:t>
        <w:tab/>
        <w:br/>
        <w:tab/>
        <w:t xml:space="preserve">Въз основа на така установените факти съдът приема от правна страна, че оспореното решение е издадено от компетентен орган, в исканата от закона форма, при спазване на административнопроизводствените правила и в съответствие с материалноправните разпоредби.</w:t>
        <w:tab/>
        <w:br/>
        <w:tab/>
        <w:t xml:space="preserve">В съответствие с разпоредбата на чл. 29, ал. 1, т. 1 във вр. с чл. 11, ар. 1 ЗПрД и доказателствата по делото, в т. ч. заключението на експертизата, съдът приема, че регистрираният и противопоставеният дизайн имат различен външен вид, който води до различно цялостно впечатление, което обосновава извод за липса на идентичност.</w:t>
        <w:tab/>
        <w:br/>
        <w:tab/>
        <w:t xml:space="preserve">В съответствие с чл. 29, ал. 2, т. 1 ЗПрД във вр. с чл. 41, ал. 1 ЗАПСП и доказателствата по делото не може да се установи по безспорен начин претендираното авторство на по-ранния дизайн и че той може да послужи като основание за заличаване на дизайн, регистров №</w:t>
        <w:tab/>
        <w:br/>
        <w:tab/>
        <w:t xml:space="preserve">[номер]</w:t>
        <w:tab/>
        <w:br/>
        <w:tab/>
        <w:t xml:space="preserve">на основание чл. 29, ал. 2, т. 1 ЗПрД.</w:t>
        <w:tab/>
        <w:br/>
        <w:tab/>
        <w:t xml:space="preserve">Въз основа на това съдът прави извод за законосъобразност на Решение №119 и отхвърля жалбата на г-н Т..</w:t>
        <w:tab/>
        <w:br/>
        <w:tab/>
        <w:t xml:space="preserve">Изводът на съда е правилен.</w:t>
        <w:tab/>
        <w:br/>
        <w:tab/>
        <w:t xml:space="preserve">V. По съществото на спора:</w:t>
        <w:tab/>
        <w:br/>
        <w:tab/>
        <w:t xml:space="preserve">Касаторът твърди, че обжалваното съдебно решение е неправилно поради съществени нарушения на съдопроизводствените правила и нарушение на материалния закон.</w:t>
        <w:tab/>
        <w:br/>
        <w:tab/>
        <w:t xml:space="preserve">Доводите, които касаторът излага в подкрепа на порока същественото нарушение на съдопроизводствените правила, са свързани с преценката на съда на доказателствата по делото. Касаторът счита, че съдът не е обсъдил в тяхната цялост и взаимна обвързаност доказателствата по делото. Така формулиран доводът ясно сочи, че касаторът не оспорва факта, че съдът е обсъдил доказателствата, но счита, че съдът не е извел въз основа на тях правилните, според него, фактически и правни изводи. Това твърдение е относимо към материалната законосъобразност на съдебното решение, евентуално в съответната част към порока необоснованост, защото съществено нарушение на съдопроизводствените правила, изразяващо се в необсъждане на относими за спора доказателства е налице тогава, когато съдът изобщо е игнорирал относими доказателства, а не когато ги е обсъдил, но изводът му не съвпада с извода на касатора.</w:t>
        <w:tab/>
        <w:br/>
        <w:tab/>
        <w:t xml:space="preserve">Видно от изложеното в касационната жалба досежно порока съществени нарушения на съдопроизводствените правила става въпрос за твърдяно неправилност на извода на съда за връзката между документите по Д1 и Д9; за неправилност на определения от съда характер на документите по Д6; за неправилност на извода на съда за недоказаност наличието на по-ранно авторско право върху дизайна на мотокар</w:t>
        <w:tab/>
        <w:br/>
        <w:tab/>
        <w:t xml:space="preserve">[модел]</w:t>
        <w:tab/>
        <w:br/>
        <w:tab/>
        <w:t xml:space="preserve">, модел [модел]; за неправилност на извода на съда за обосноваността и правилността на заключението на вещото лице, както и за значението на Решение №163.</w:t>
        <w:tab/>
        <w:br/>
        <w:tab/>
        <w:t xml:space="preserve">Тези доводи съдът ще обсъди при преценката на съответствието на съдебното решение с материалния закон.</w:t>
        <w:tab/>
        <w:br/>
        <w:tab/>
        <w:t xml:space="preserve">1. По приложимостта на чл. 29, ал. 1, т. 1 ЗПрД:</w:t>
        <w:tab/>
        <w:br/>
        <w:tab/>
        <w:t xml:space="preserve">За да е налице хипотезата на чл. 29, ал. 1, т. 1 във вр. с чл. 11, ал. 1 ЗПрД е необходимо да е установено, че регистрираният дизайн не е нов и не е оригинален. Изискванията са кумулативни.</w:t>
        <w:tab/>
        <w:br/>
        <w:tab/>
        <w:t xml:space="preserve">Нов е дизайнът, когато преди датата на заявката не е известен друг идентичен дизайн, който е станал общодостъпен чрез публикации, регистрации или разгласяване по какъвто и да е друг начин – чл. 12, ал. 1 ЗПрД. Идентични са дизайните, ако техните особености се различават само в несъществените елементи – чл. 12, ал. 2 ЗПрД. Така съществуващата правна уредба изисква да се прецени ангажираните от касатора доказателства установяват ли съществуването към датата на заявката на друг идентичен дизайн, който е станал общодостъпен.</w:t>
        <w:tab/>
        <w:br/>
        <w:tab/>
        <w:t xml:space="preserve">Какво показват доказателствата по делото?</w:t>
        <w:tab/>
        <w:br/>
        <w:tab/>
        <w:t xml:space="preserve">[фирма]</w:t>
        <w:tab/>
        <w:br/>
        <w:tab/>
        <w:t xml:space="preserve">[модел]</w:t>
        <w:tab/>
        <w:br/>
        <w:tab/>
        <w:t xml:space="preserve">[ел. адрес]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