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№326/26.01.2026 по гр. д. №2495/2025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326</w:t>
        <w:tab/>
        <w:br/>
        <w:tab/>
        <w:t xml:space="preserve"/>
        <w:tab/>
        <w:br/>
        <w:tab/>
        <w:t xml:space="preserve">София, 26.01. 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22.10.2025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2495 /2025 г. 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Комисията за отнемане на незаконно придобито имущество (нататък и КОНПИ, Комисията) срещу въззивно решение № 102 /05.02.2025 г. по в. гр. д. № 3244 /2023 г. на Софийския апелативен съд, с което като е отменено решение на Врачанския окръжен съд в една част и е потвърдено в друга част, е отхвърлен иск на КОНПИ срещу И. Б. И. и Л. С. И. с правно основание чл.153, ал.1 ЗОНПИ. </w:t>
        <w:tab/>
        <w:br/>
        <w:tab/>
        <w:t xml:space="preserve"/>
        <w:tab/>
        <w:br/>
        <w:tab/>
        <w:t xml:space="preserve">Ответниците по касационната жалба И. Б. И. и Л. С. И. в писмен отговор оспорват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Жалбата е процесуално допустима, подадена е от страна по делото, която има право и интерес да обжалва, срещу решение по въззивно дело, за което не е предвидено ограничение за касационно обжалване и е редовна.</w:t>
        <w:tab/>
        <w:br/>
        <w:tab/>
        <w:t xml:space="preserve"/>
        <w:tab/>
        <w:br/>
        <w:tab/>
        <w:t xml:space="preserve">Въззивният съд е приел следното:</w:t>
        <w:tab/>
        <w:br/>
        <w:tab/>
        <w:t xml:space="preserve"/>
        <w:tab/>
        <w:br/>
        <w:tab/>
        <w:t xml:space="preserve">Посочил е предпоставките за уважаването на исковете с правно основание чл.153вр. чл.142, ал.2, т.1 и т.2 вр. с чл.141 вр. с чл.150 ЗОНПИ.</w:t>
        <w:tab/>
        <w:br/>
        <w:tab/>
        <w:t xml:space="preserve"/>
        <w:tab/>
        <w:br/>
        <w:tab/>
        <w:t xml:space="preserve">Между тях е посочил установяването на значително несъответствие в имуществото на ответниците по смисъла на § 1, т.3 ДР на ЗОНПИ, както и че с разпоредбата на чл.107 ЗОНПИ в полза на държавата в лицето на ищеца КОНПИ е създадена доказателствена презумпция, че имуществото е незаконно придобито, когато след проверка се установи значително несъответствие в същото съгласно § 1, т.3 ДР на ЗОНПИ.</w:t>
        <w:tab/>
        <w:br/>
        <w:tab/>
        <w:t xml:space="preserve"/>
        <w:tab/>
        <w:br/>
        <w:tab/>
        <w:t xml:space="preserve">Приел е, че първоинстанционният съд неправилно е добавил към стойността на наличното имущество формираната отрицателна величина от разликата между установените доходи на ответниците и направените от тях обичайни и извънредни разходи за проверявания период, която е възприета като отрицателен нетен доход. Приел е, че съгласно решение № 50130/03.01.2024 г. по гр. д. № 5134 /2021 г. на IV г. о. на ВКС разликата между горните две величини не следва да се квалифицира като отрицателен нетен доход, т. к. легалната дефиниция па § 1, т.8 от ДР на ЗОНПИ регламентира, че нетни доходи са доходи, приходи и източници на финансиране, намалени с размера на разходите (обичайни и извънредни) на проверяваните лица. …</w:t>
        <w:tab/>
        <w:br/>
        <w:tab/>
        <w:t xml:space="preserve"/>
        <w:tab/>
        <w:br/>
        <w:tab/>
        <w:t xml:space="preserve">Приел е, че ВКС приема, че нетният доход по смисъла на тази разпоредба е превишението на общия размер на приходите над общия размер на разходите, т. е. оставащите свободни средства, които могат да са положителна величина или нула, но не и отрицателна величина.</w:t>
        <w:tab/>
        <w:br/>
        <w:tab/>
        <w:t xml:space="preserve"/>
        <w:tab/>
        <w:br/>
        <w:tab/>
        <w:t xml:space="preserve">От това следва да се приеме за доказан нулев нетен доход.</w:t>
        <w:tab/>
        <w:br/>
        <w:tab/>
        <w:t xml:space="preserve"/>
        <w:tab/>
        <w:br/>
        <w:tab/>
        <w:t xml:space="preserve">Следва да бъде съобразено и ТР по тълк. д. № 4/2021 на ОСГК на ВКС, че стойността на „значително несъответствие“ е специално понятие, означаващо превишение най-малко със 150 000 лева стойността на имуществото, но не и на сбора на разходите над общата стойност на нетния доход за проверявания период.</w:t>
        <w:tab/>
        <w:br/>
        <w:tab/>
        <w:t xml:space="preserve"/>
        <w:tab/>
        <w:br/>
        <w:tab/>
        <w:t xml:space="preserve">Приел е, че поради това не се формира значително несъответствие и искът е неоснователен.</w:t>
        <w:tab/>
        <w:br/>
        <w:tab/>
        <w:t xml:space="preserve"/>
        <w:tab/>
        <w:br/>
        <w:tab/>
        <w:t xml:space="preserve">По наведените основания за допускане на касационно обжалване:</w:t>
        <w:tab/>
        <w:br/>
        <w:tab/>
        <w:t xml:space="preserve"/>
        <w:tab/>
        <w:br/>
        <w:tab/>
        <w:t xml:space="preserve">В изложението си по чл.284, ал.3, т.1 ГПК жалбоподателят КОНПИ обосновава искане за допускане на касационно обжалване по правни въпроси, за които твърди, че осъществяват основания за допускане на касационно обжалване.</w:t>
        <w:tab/>
        <w:br/>
        <w:tab/>
        <w:t xml:space="preserve"/>
        <w:tab/>
        <w:br/>
        <w:tab/>
        <w:t xml:space="preserve">Между тях са въпроси във връзка с тълкуването на § 1, т. 3 от ДР ЗОНПИ.</w:t>
        <w:tab/>
        <w:br/>
        <w:tab/>
        <w:t xml:space="preserve"/>
        <w:tab/>
        <w:br/>
        <w:tab/>
        <w:t xml:space="preserve">Поставен е и въпросът: Установеният недостиг на парични средства /отрицателен нетен доход/ следва ли да се отчита като нула и представлява ли съставна част от определянето на несъответствието, получен при съпоставяне на размера на извършените обичайни и извънредни разходи от проверяваното лице и членовете на семейството му и установените техни доходи, приходи или източници на финансиране? </w:t>
        <w:tab/>
        <w:br/>
        <w:tab/>
        <w:t xml:space="preserve"/>
        <w:tab/>
        <w:br/>
        <w:tab/>
        <w:t xml:space="preserve">За този въпрос се твърди, че има значение за точното прилагане на закона - основание по чл.280, ал.1, т.3 ГПК.</w:t>
        <w:tab/>
        <w:br/>
        <w:tab/>
        <w:t xml:space="preserve"/>
        <w:tab/>
        <w:br/>
        <w:tab/>
        <w:t xml:space="preserve">Видно за мотивите на въззивния съд, въпросът е обусловил изводите на въззивния съд и е разрешен от него в съответствие с посоченото от въззивния съд решение № 50130/03.01.2024 г. по гр. д. № 5134 /2021 г. на IV г. о. на ВКС, постановено в производство по чл.290 ГПК. </w:t>
        <w:tab/>
        <w:br/>
        <w:tab/>
        <w:t xml:space="preserve"/>
        <w:tab/>
        <w:br/>
        <w:tab/>
        <w:t xml:space="preserve">Тези въпроси се обхващат от първия въпрос на образуваното с разпореждане от 15.01.2026 г. на председателя на ВКС тълкувателно решение № 1 /2026 г. на ОСГК на ВКС: </w:t>
        <w:tab/>
        <w:br/>
        <w:tab/>
        <w:t xml:space="preserve"/>
        <w:tab/>
        <w:br/>
        <w:tab/>
        <w:t xml:space="preserve"> „Какви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имущество? Къде са нормативно регламентирани?“</w:t>
        <w:tab/>
        <w:br/>
        <w:tab/>
        <w:t xml:space="preserve"/>
        <w:tab/>
        <w:br/>
        <w:tab/>
        <w:t xml:space="preserve">По този въпрос са изтъкнати два проблема, очертани от противоречива практика след постановяване на Тълкувателно решение № 4 от 18.05.2023 г. по тълк. д. № 4/2021 г. на ОСГК на ВКС, първият от които е: Противоречиво тълкуване на легалната дефиниция за „значително несъответствие“ в пар. 1, т. 3 от ДР на ЗОНПИ, за който е обосновано наличието на три различни подхода при прилагане на изискването за „значително несъответствие“ в имуществото на проверяваното лице, което води до неравноправност между правните субекти. Посочена е съдебната практика, формирана по всеки един от трите подхода.</w:t>
        <w:tab/>
        <w:br/>
        <w:tab/>
        <w:t xml:space="preserve"/>
        <w:tab/>
        <w:br/>
        <w:tab/>
        <w:t xml:space="preserve">Между решенията, за които се твърди, че отразяват противоречивата практика по първия въпрос при втория възприет подход е посочено решение № 50130/03.01.2024 г. по гр. д. № 5134 /2021 г. на IV г. о. на ВКС, на което се е позовал въззивният съд (то е между съдебните решения, които се сочат като формиращи противоречива съдебна практика по първия въпрос).</w:t>
        <w:tab/>
        <w:br/>
        <w:tab/>
        <w:t xml:space="preserve"/>
        <w:tab/>
        <w:br/>
        <w:tab/>
        <w:t xml:space="preserve">Поради изложеното настоящият състав приема, че са осъществени предпоставките по чл.292 ГПК за спиране на производството по делото до постановяване на тълкувателно решение по образуваното тълкувателно дело № 1 /2026 г. на ОСГК на ВКС.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2495 /2025 г. на Върховния касационен съд, IV г. о. до приключване на производството по тълкувателно дело № 1 /2026 г. на ОСГК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