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№346/05.07.2024 по ч. нак. д. №619/2024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346</w:t>
        <w:tab/>
        <w:br/>
        <w:tab/>
        <w:t xml:space="preserve"/>
        <w:tab/>
        <w:br/>
        <w:tab/>
        <w:t xml:space="preserve"> гр. София, 05.07.2024 г.</w:t>
        <w:tab/>
        <w:br/>
        <w:tab/>
        <w:t xml:space="preserve"/>
        <w:tab/>
        <w:br/>
        <w:tab/>
        <w:t xml:space="preserve">ВЪРХОВЕН КАСАЦИОНЕН СЪД в закрито заседание на пети юли през две хиляди двадесет и четвърта година в следния състав: Председател:Даниела Атанасова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20248003200619 по описа за 2024 година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ч. д. № 450/2024 год. по описа на Районен съд – Търговище.</w:t>
        <w:tab/>
        <w:br/>
        <w:tab/>
        <w:t xml:space="preserve"/>
        <w:tab/>
        <w:br/>
        <w:tab/>
        <w:t xml:space="preserve">Върховният касационен съд като се запозна с материалите по делото, намери следното: </w:t>
        <w:tab/>
        <w:br/>
        <w:tab/>
        <w:t xml:space="preserve"/>
        <w:tab/>
        <w:br/>
        <w:tab/>
        <w:t xml:space="preserve">Делото е образувано по жалба на Г. Г. В. против постановление на Районна прокуратура – Търговище от 25. 04. 2024 год., с което е отказано образуване на наказателно производство за престъпление по чл. 143 от НК. Всички съдии, правораздаващи в Търговищкия районен съд, са се отвели по съображения, че се намират в служебни отношения с жалбоподателката, която е адвокат в АК – Търговище.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За да бъде осигурено приключването му в разумен срок, същото следва да бъде разгледано от съд извън района на Окръжен съд – Търговище, а именно Районен съд – Шумен, който като намиращ се в областен център предполага по-лесна достъпност и се намира в най-голяма близост до местоживеенето на жалбоподателката.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ч. д. № 450/2024 год. по описа на Районен съд – Търговище за разглеждане и решаване от Районен съд – Шумен.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Търговище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