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№2471/05.08.2025 по ч. търг. д. №1598/2025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2471гр. София, 05.08.2025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пети август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1598 по описа за 2025 година</w:t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/>
        <w:tab/>
        <w:br/>
        <w:tab/>
        <w:t xml:space="preserve">Образувано е по молба на ответника ЗАД „Армеец“ АД за спиране на изпълнението на постановено от Пловдивски апелативен съд въззивно решение.</w:t>
        <w:tab/>
        <w:br/>
        <w:tab/>
        <w:t xml:space="preserve"/>
        <w:tab/>
        <w:br/>
        <w:tab/>
        <w:t xml:space="preserve">Установява се, че с въззивното решение по предявените искове с правно основание чл. 432, ал. 1 КЗ молителят е осъден да заплати на всеки от тримата ищци застрахователни обезщетения в размер на по 200 000 лв., заедно със законната лихва.</w:t>
        <w:tab/>
        <w:br/>
        <w:tab/>
        <w:t xml:space="preserve"/>
        <w:tab/>
        <w:br/>
        <w:tab/>
        <w:t xml:space="preserve">Установява се също, че молителят в срока по чл. 283 ГПК е подал редовна касационна жалба срещу въззивното решение в частите, с които всеки от исковете е уважен за разликата над 150 000 лв. до 200 000 лв., както и че на 04.08.2025 г. е представил в обезпечение сумата 150 000 лв., постъпила и намираща се по сметката за обезпечения на ВКС.</w:t>
        <w:tab/>
        <w:br/>
        <w:tab/>
        <w:t xml:space="preserve"/>
        <w:tab/>
        <w:br/>
        <w:tab/>
        <w:t xml:space="preserve">Налице са следователно предпоставките по чл. 282, ал. 2 ГПК, поради което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на основание чл. 282, ал. 2 ГПК изпълнението на въззивно решение № 240/25.07.2025 г. по т. д. № 266/2025 г. по описа на Пловдивски апелативен съд, в частите, с които предявените от Н. А. П., Н. К. П. и А. К. П. срещу ЗАД „Армеец“ АД искове по чл. 432, ал. 1 КЗ са уважени за разликата над 150 000 лв. до 200 000 лв. всеки, заедно със законната лихва.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