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№250/09.07.2018 по търг. д. №3539/2015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250</w:t>
        <w:tab/>
        <w:br/>
        <w:tab/>
        <w:t xml:space="preserve"> </w:t>
        <w:tab/>
        <w:br/>
        <w:tab/>
        <w:t xml:space="preserve">гр. София, 09.07.2018год.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шести юли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3539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от 12.07.2017г. е спряно производството по делото до приключване на дело С - 119/17 на Съда на Европейския съюз.</w:t>
        <w:tab/>
        <w:br/>
        <w:tab/>
        <w:t xml:space="preserve"> </w:t>
        <w:tab/>
        <w:br/>
        <w:tab/>
        <w:t xml:space="preserve"> С определение на СЕС производството по дело С-119/17 е приключило, поради което, на основание чл.631, ал.2 ГПК,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 производството по т. д. № 3539/ 2015г. по описа на ВКС, I ТО.</w:t>
        <w:tab/>
        <w:br/>
        <w:tab/>
        <w:t xml:space="preserve"> </w:t>
        <w:tab/>
        <w:br/>
        <w:tab/>
        <w:t xml:space="preserve">НАСРОЧВА делото за 25.09.2018г. от 9.00 часа, за която дата да се призоват страните, на които са се връчи препис от настоящото определение.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