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№208/28.10.2020 по търг. д. №978/2018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208</w:t>
        <w:tab/>
        <w:br/>
        <w:tab/>
        <w:t xml:space="preserve"> </w:t>
        <w:tab/>
        <w:br/>
        <w:tab/>
        <w:t xml:space="preserve">София, 28.10.2020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двадесет и първи октомври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978/2018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касационни жалби на А. Н. Д. и К. Х. М., в качеството им на синдици на „Корпоративна търговска банка“ АД (в несъстоятелност), [населено място] и ЕТ „Орхидея – С.. Г. – В. Г.”, [населено място], община Петрич срещу решение № 2706 от 28.12.2017 г. по т. д. № 4177/2017 г. на Софийски апелативен съд, с което е потвърдено решение № 382 от 22.02.2017 г. по т. д. № 2015/2016 г. на Софийски градски съд, Търговско отделение, VІ-18 състав.</w:t>
        <w:tab/>
        <w:br/>
        <w:tab/>
        <w:t xml:space="preserve"> </w:t>
        <w:tab/>
        <w:br/>
        <w:tab/>
        <w:t xml:space="preserve">Настоящият състав намира, че са налице предпоставките на чл. 229, ал. 1, т. 6 ГПК за спиране на производството по делото, тъй като след обявяването му за решаване, с определение от 20.10.2020 г. по конституционно дело № 9/2020 г. на Конституционния съд на Р. Б е допуснато до разглеждане по същество искането на Висшия адвокатски съвет за установяване на противоконституционност на част от преходните и заключителни разпоредби на Закон за изменение и допълнение на ЗБН (ЗАКОН ЗЗД БАНКОВАТА НЕСЪСТОЯТЕЛНОСТ) (обн. ДВ, бр. 22 от 2018 г., доп. ДВ, бр. 33 от 2019 г.), в т. ч. и разпоредбата на § 8, касаеща приложимата за конкретния случай разпоредба на чл. 59, ал. 5 ЗБН.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определението от съдебно заседание на 26.02.2020 г. за даване ход по същество.</w:t>
        <w:tab/>
        <w:br/>
        <w:tab/>
        <w:t xml:space="preserve"> </w:t>
        <w:tab/>
        <w:br/>
        <w:tab/>
        <w:t xml:space="preserve">СПИРА, на основание чл. 229, ал. 1, т. 6 ГПК, производството по т. д. № 978/2018 г. по описа на Върховен касационен съд, Търговска колегия, Второ отделение до произнасяне на Конституционния съд на Р. Б по конституционно дело № 9/2020 г.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Върховен касационен съд, Търговска колегия в едноседмичен срок от съобщението до страните за постановяването му.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