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6A7AF159" w14:textId="1F4AEADA" w:rsidR="002030A6" w:rsidRPr="00B20476" w:rsidRDefault="002030A6" w:rsidP="00B20476"><w:pPr><w:spacing w:after="240"/><w:jc w:val="center"/><w:rPr><w:b/><w:bCs/><w:sz w:val="28"/><w:szCs w:val="28"/></w:rPr></w:pPr><w:r w:rsidRPr="00B20476"><w:rPr><w:b/><w:bCs/><w:sz w:val="28"/><w:szCs w:val="28"/></w:rPr><w:t>Решение №1114/23.01.2012 по адм. д. №6577/2011 на ВАС</w:t></w:r></w:p><w:p w14:paraId="5F873711" w14:textId="77777777" w:rsidR="00EB4203" w:rsidRDefault="00047AEF" w:rsidP="003568EE"><w:pPr><w:spacing w:after="240"/><w:ind w:firstLine="851"/><w:jc w:val="both"/><w:rPr><w:rStyle w:val="SubtleReference"/><w:lang w:val="en-US"/></w:rPr></w:pPr><w:r w:rsidRPr="003568EE"><w:rPr><w:rStyle w:val="SubtleReference"/></w:rPr><w:t></w:t></w:r><w:r w:rsidR="00EB4203"><w:rPr><w:rStyle w:val="SubtleReference"/><w:lang w:val="en-US"/></w:rPr><w:t xml:space="preserve"> </w:t></w:r></w:p><w:p w14:paraId="78EFB3D2" w14:textId="73C2A980" w:rsidR="00047AEF" w:rsidRDefault="00047AEF" w:rsidP="00047AEF"><w:pPr><w:spacing w:after="240"/><w:ind w:firstLine="851"/><w:jc w:val="both"/><w:rPr><w:rStyle w:val="SubtleReference"/><w:b/><w:bCs/><w:color w:val="222A35" w:themeColor="text2" w:themeShade="80"/></w:rPr></w:pPr><w:r w:rsidRPr="003568EE"><w:rPr><w:rStyle w:val="SubtleReference"/><w:b/><w:bCs/><w:color w:val="222A35" w:themeColor="text2" w:themeShade="80"/></w:rPr><w:t></w:t></w:r></w:p><w:p w14:paraId="0D97DE0B" w14:textId="31E35869" w:rsidR="00EB4203" w:rsidRPr="003568EE" w:rsidRDefault="003568EE" w:rsidP="00A75127"><w:pPr><w:spacing w:after="240"/><w:ind w:firstLine="851"/><w:jc w:val="both"/><w:rPr><w:rStyle w:val="SubtleReference"/><w:b/><w:bCs/><w:color w:val="222A35" w:themeColor="text2" w:themeShade="80"/><w:lang w:val="en-US"/></w:rPr></w:pPr><w:r><w:rPr><w:rStyle w:val="SubtleReference"/><w:b/><w:bCs/><w:color w:val="222A35" w:themeColor="text2" w:themeShade="80"/><w:lang w:val="en-US"/></w:rPr><w:t></w:t></w:r></w:p><w:p w14:paraId="35F713DB" w14:textId="5ED6FE89" w:rsidR="00FC2797" w:rsidRPr="00B20476" w:rsidRDefault="00392F10" w:rsidP="00B20476"><w:pPr><w:spacing w:after="240"/><w:ind w:firstLine="851"/><w:jc w:val="both"/><w:rPr><w:sz w:val="24"/><w:szCs w:val="24"/></w:rPr></w:pPr><w:r w:rsidRPr="00B20476"><w:rPr><w:sz w:val="24"/><w:szCs w:val="24"/></w:rPr><w:t></w:t><w:tab/><w:br/><w:tab/><w:t xml:space="preserve">Производството е по реда на чл. 145 и следв. от Административнопроцесуалния кодекс (АПК).</w:t><w:tab/><w:br/><w:tab/><w:t xml:space="preserve">Постъпила е жалба от Ю. Д. Т. - Генева срещу решение на министъра на вътрешните работи № I-10727/08.04.2011 г.</w:t><w:tab/><w:br/><w:tab/><w:t xml:space="preserve">, с което се установява наличие на конфликт на интереси по отношение на жалбоподателката - началник на отдел в Институт по психология на МВР, свързан с нарушение на разпоредбите на чл.2, ал.1 и ал. 3 от Закона за предотвратяване и разкриване на конфликт на интереси (ЗПРКИ), забраняващи на лица, заемащи публични длъжности да сключват договори или извършват други дейности в частен интерес при изпълнение на правомощията или задълженията си по служба.</w:t><w:tab/><w:br/><w:tab/><w:t xml:space="preserve">Ответникът - министърът на вътрешните работи, чрез пълномощника си оспорва жалбата и счита постановеното решение за законосъобразно.</w:t><w:tab/><w:br/><w:tab/><w:t xml:space="preserve">Представителят на Върховната административна прокуратура дава мотивирано заключение за основателност на жалбата и незаконосъобразност на оспореното решение.</w:t><w:tab/><w:br/><w:tab/><w:t xml:space="preserve">Върховният административен съд, състав на пето отделение, за да се произнесе взе предвид следното:</w:t><w:tab/><w:br/><w:tab/><w:t xml:space="preserve">Производството по установяване на конфликт на интереси пред министъра на вътрешните работи е започнало въз основа публикация във вестник 168 часа и докладна записка рег.№ 607/11.02.2011 г. на директора на ИП - МВР, с която дирекция „И”ООД, на което е била управител до 19.02.2010 г. Била е управител и на „ДД груп” ЕООД. Прекратила е участието си и в двете дружества от 19.02.2010 г., като е прехвърлила собствеността и управлението на „Д &Д груп”ООД на своята дъщеря Р. Г..</w:t><w:tab/><w:br/><w:tab/><w:t xml:space="preserve">През м. октомври 2009 г. Ю. Д., в качеството си на управител на „Д &Д груп”ООД е предложила на директора на</w:t><w:tab/><w:br/><w:tab/><w:t xml:space="preserve">ИП - МВР проектна идея за нуждите на правоохранителната система, като института да бъде водеща организация при кандидатстване по определената програма и нейното реализиране. На 29.09.2010 г. е подписан договор между ИП - МВР и Национален център за развитие на човешките ресурси за реализиране на проект „</w:t><w:tab/><w:br/><w:tab/><w:t xml:space="preserve">SOCOPOL”, финансиран по програма „Л”ООД е един от изпълнителите по проекта, а фирмите партньори са предложени от Ю. Д..</w:t><w:tab/><w:br/><w:tab/><w:t xml:space="preserve">Ю. Д. отново е назначена в ИП-МВР на 01.07.2010 г, като от 05.11.2010 г. е държавен служител в МВР, присъдена й е категория „Б” и е назначена на длъжност началник на отдел „О”ООД, представлявано от дъщерята на Ю. Д. -</w:t><w:tab/><w:br/><w:tab/><w:t xml:space="preserve">Р. Г., собственик и управител на дружеството, като този договор е неразделна част от договора за предоставяне на финансова помощ за осъществяването на проекта. След подписването на договора</w:t><w:tab/><w:br/><w:tab/><w:t xml:space="preserve">ИП - МВР е получил 87000 (осемдесет и седем хиляди) евро по своя сметка, от която за с „Д</w:t><w:tab/><w:br/><w:tab/><w:t xml:space="preserve">&Д груп”ООД са определени 21 624 (двадесет и една хиляди и шестстотин и двадесет и четири) евро.</w:t><w:tab/><w:br/><w:tab/><w:t xml:space="preserve">С заповед № 665/11.10.2010 г. на директора на ИП-МВР за координатор на проекта е определена Ю. Д., като й е възложено да организира, контролира и отчита дейностите по проекта в рамките на ИП-МВР, като този контрол включва и действието на определеното в заповедта лице за контакт, което от своя страна осъществява контрол върху организациите п а ртньори, вкл. и върху „Д</w:t><w:tab/><w:br/><w:tab/><w:t xml:space="preserve">&Д груп”ООД. За осъществяването на тази функция е сключен граждански договор рег. № 01/20.12.2010 г. между</w:t><w:tab/><w:br/><w:tab/><w:t xml:space="preserve">Ю. Д. и МВР, представлявано от директора на ИП-МВР.</w:t><w:tab/><w:br/><w:tab/><w:t xml:space="preserve">В оспорваната заповед е прието, че заеманата от Ю. Д. длъжност, началник на отдел „О”ООД, и в „ДД груп” ЕООД дванадесет месеца преди датата на назначаване на заеманата длъжност, но в декларацията не е декларирала настъпилата промяна и наличието на частен интерес, съгласно чл. 12, т.3 и 4 от ЗПУКИ, при участието й като длъжностно лице в реализирането на проект „</w:t><w:tab/><w:br/><w:tab/><w:t xml:space="preserve">SOCOPOL”, в който като партньор е било предвидено да участва</w:t><w:tab/><w:br/><w:tab/><w:t xml:space="preserve">„Д</w:t><w:tab/><w:br/><w:tab/><w:t xml:space="preserve">&Д груп”ООД, управлявана от дъщеря й - Р. Г..</w:t><w:tab/><w:br/><w:tab/><w:t xml:space="preserve">При изложената фактическа обстановка настоящият състав на ВАС намира следното от правна страна:</w:t><w:tab/><w:br/><w:tab/><w:t xml:space="preserve">Законът за предотвратяване и разкриване на конфликт на интереси обн. ДВ, бр. 94 от 31.10.2008г., в сила от 01.01.2009г., изм. бр. 10 от 06.02.2009г., изм. и доп. бр. 26 от 07.04.2009г., в сила от 31.03.2009г. определя правилата за предотвратяване и разкриване на конфликт на интереси на лица, заемащи публични длъжности. Сред основните причини, които налагат приемането на общ закон за конфликта на интереси, посочени в мотивите към проекта на закона са необходимостта от въвеждане на единна система за управление на конфликта на интереси, който е един от главните източници за корупция, липсата на ясна институционална рамка на ангажиментите във връзка с конфликта на интереси. В глава първа на закона е определено приложното поле, което обхваща законодателната, съдебната и изпълнителната власт, както и местното самоуправление и има действие спрямо всички лица, които са еднолични органи, членове на колегиални органи, служители в администрацията или са назначени на ръководни длъжности от органи на изпълнителната власт. В нея е дефинирано понятието „конфликт на интереси” чрез последователното въвеждане на още две понятия, обясняващи основното, а именно- „частен интерес” и „облага” (чл. 2, ал. 2 и ал. 3 ЗПРКИ). По този начин законодателят цели посочване на същностните характеристики на явлението, които да са приложими към широк кръг ситуации в които лице, заемащо публична длъжност по смисъла на закона може да попадне. А в глава четвърта на закона са регламентирани последиците при констатиране на конфликт на интереси, които са в две основни насоки. Първата е свързана с последиците спрямо лицето, което заема публична длъжност-в зависимост от характера и тежестта на нарушението. Те са свързани с реализиране на наказателна отговорност, административнонаказателна отговорност, дисциплинарна отговорност, имуществена отговорност, както и освобождаване от заеманата длъжност, а втората последица е по отношение на актове, сключени договори и действия в условията на конфликт на интереси.</w:t><w:tab/><w:br/><w:tab/><w:t xml:space="preserve">Оспореното решение е издадено в рамките на компетентността на министъра на вътрешните работи, с оглед чл. 28, ал. 1, т. 3, във вр. с чл. 25, ал. 2, т. 5 от ЗПРКИ, спазени са изискуемата форма на акта и административнопроизводствените правила.</w:t><w:tab/><w:br/><w:tab/><w:t xml:space="preserve">Безспорен е факта, че жалбоподателката е лице, заемащо публична държавна длъжност по смисъла на чл. 3, т. 25 от ЗПРКИ и се явява задължено лице да декларира несъвместимост и частен интерес.</w:t><w:tab/><w:br/><w:tab/><w:t xml:space="preserve">Съгласно чл. 2, ал. 1 от същия закон, конфликт на интереси възниква в случаите, когато лице, заемащо публична длъжност, има частен интерес, който може да повлияе върху безпристрастното и обективно изпълнение на правомощията или задълженията му по служба. По смисъла на закона частен интерес е всяка облага от материален и нематериален характер, чието съдържание е дефинирано в ал. 3 на чл. 2. При това е необходимо частният интерес и облагата да са налице, а не възможността за бъдещето им проявление.</w:t><w:tab/><w:br/><w:tab/><w:t xml:space="preserve">Доказателствата по делото сочат, че като държавен служител в МВР и началник на отдел в ИП - МВР, жалбоподателката е лице, заемащо публична длъжност по чл. 3, т.25 от ЗПУКИ(преди и след изменението на правната норма), а като координатор на проекта, определена със заповед №665/11.10.2010 г. на директора на ИП-МВР, тя е изпълнявала действия по разпореждане и контрол на дейността по осъществяване на проекта „</w:t><w:tab/><w:br/><w:tab/><w:t xml:space="preserve">SOCOPOL”. С цитираната заповед на жалбоподателката са й възложени функции по разпореждане и контрол на целия екип, определен от ИП - МВР за участие в проекта, в това число и на контактното лице. Видно от съдържанието на заповедта и от сведението на контактното лице от ИП - МВР - инспектор К. Х.,</w:t><w:tab/><w:br/><w:tab/><w:t xml:space="preserve">Ю. Д. е приемала отчети от същата за извършената работа по проекта „</w:t><w:tab/><w:br/><w:tab/><w:t xml:space="preserve">SOCOPOL”, като контролът по отношение на партньорските организации е основен предмет и на сключения между</w:t><w:tab/><w:br/><w:tab/><w:t xml:space="preserve">Добрева и МВР граждански договор № 1/20.12.2010 г. В този граждански договор изчерпателно и ясно са изброени ръководните и контролни функции, възложени на Ю. Д., приложими по отношение на партньорските организации, включително и „Д</w:t><w:tab/><w:br/><w:tab/><w:t xml:space="preserve">&Д груп”ООД, т. е. по отношение на работата, извършвана от нейната дъщеря Р. Г..</w:t><w:tab/><w:br/><w:tab/><w:t xml:space="preserve">Безспорно е установено, че въз основа на цитираната заповед и гражданския договор ,</w:t><w:tab/><w:br/><w:tab/><w:t xml:space="preserve">Ю. Д. е приемала отчети, оценявала ги е и ги е докладвала на директора на ИП - МВР за утвърждаване. При тази своя дейност тя е осъществявала контрол и върху дейността на„Д</w:t><w:tab/><w:br/><w:tab/><w:t xml:space="preserve">&Д груп”ООД, собственост на нейната дъщеря Р. Г., като приемането, положителната оценка и утвърждаването на отчетите на</w:t><w:tab/><w:br/><w:tab/><w:t xml:space="preserve">„Д</w:t><w:tab/><w:br/><w:tab/><w:t xml:space="preserve">&Д груп”ООД е било условие за извършване на плащанията към дружеството като партньорска организация, за извършената от него работа по договора за изпълнение на проекта</w:t><w:tab/><w:br/><w:tab/><w:t xml:space="preserve">„</w:t><w:tab/><w:br/><w:tab/><w:t xml:space="preserve">SOCOPOL”.</w:t><w:tab/><w:br/><w:tab/><w:t xml:space="preserve">С обжалваната заповед правилно е установено, че Р. Г., като дъщеря на</w:t><w:tab/><w:br/><w:tab/><w:t xml:space="preserve">Ю. Д. е свързано лице по смисъла на §1,т.1 от Допълнителните разпоредби към ЗПУКИ и нейната дейност по изпълнение срещу заплащане на договорени дейности от проекта „</w:t><w:tab/><w:br/><w:tab/><w:t xml:space="preserve">SOCOPOL” е създало предпоставки и възможност за повлияване върху безпристрастното и обективно изпълнение на правомощията и задълженията по служба от страна на</w:t><w:tab/><w:br/><w:tab/><w:t xml:space="preserve">Ю. Д..</w:t><w:tab/><w:br/><w:tab/><w:t xml:space="preserve">С оглед на гореизложеното правилно министърът на вътрешните работи е установил, че в конкретния случай е налице определения в чл. 2, ал.2 от ЗПУКИ частен интерес, доколкото за Ю. Д., заемаща публична длъжност като държавен служител в МВР, при изпълнението на възложените й функции по проект„</w:t><w:tab/><w:br/><w:tab/><w:t xml:space="preserve">SOCOPOL”, съществува интерес, който води до облага за свързано с нея лице-дъщеря й Р. Г.- собственик и управител на</w:t><w:tab/><w:br/><w:tab/><w:t xml:space="preserve">„Д</w:t><w:tab/><w:br/><w:tab/><w:t xml:space="preserve">&Д груп”ООД. Облагата в конкретния случай се състои във фактическата възможност, произтичаща от правомощията на</w:t><w:tab/><w:br/><w:tab/><w:t xml:space="preserve">Ю. Д. като координатор по проекта</w:t><w:tab/><w:br/><w:tab/><w:t xml:space="preserve">„</w:t><w:tab/><w:br/><w:tab/><w:t xml:space="preserve">SOCOPOL” да оказва визираните в чл. 2,ал.3 от ЗПУКИ подкрепа, предимство и влияние при приемане, оценка и докладване на отчетите на</w:t><w:tab/><w:br/><w:tab/><w:t xml:space="preserve">„Д</w:t><w:tab/><w:br/><w:tab/><w:t xml:space="preserve">&Д груп”ООД за извършената работа, въз основа на които дружеството получава договореното възнаграждение.</w:t><w:tab/><w:br/><w:tab/><w:t xml:space="preserve">Правилно административния орган е приел, че самото възнаграждение дружеството получава от ИП - МВР, след приемане и утвърждаване на отчети за извършените дейности, процедура, в която участва</w:t><w:tab/><w:br/><w:tab/><w:t xml:space="preserve">Ю. Д. и това създава пряка и непосредствена причинно - следствена връзка между поведението на Ю. Д. като координатор на проекта и получаването на възнаграждение за работата по този проект от „Д</w:t><w:tab/><w:br/><w:tab/><w:t xml:space="preserve">&Д груп”ООД, собственост на нейната дъщеря Р. Г..</w:t><w:tab/><w:br/><w:tab/><w:t xml:space="preserve">По изложените съображения съдът намира, че е налице конфликт на интереси на Ю. Д. Т.-Генева - началник на отдел в Институт по психология на МВР, поради което решение на МВР №</w:t><w:tab/><w:br/><w:tab/><w:t xml:space="preserve">I-10727 от 08.04.2011 г.</w:t><w:tab/><w:br/><w:tab/><w:t xml:space="preserve">, с което се установява наличие на конфликт на интереси на жалбоподателката следва да бъде оставено в сила.</w:t><w:tab/><w:br/><w:tab/><w:t xml:space="preserve">Воден от горното, на основание чл. 172, ал. 2 от АПК, Върховният административен съд, пето отделение,</w:t><w:tab/><w:br/><w:tab/><w:t xml:space="preserve">РЕШИ:</w:t><w:tab/><w:br/><w:tab/><w:t xml:space="preserve">ОТХВЪРЛЯ жалбата на Ю. Д. Т.-Генева срещу решение № I-10727/08.04.2011 г. на министъра на вътрешните работи, с което се установява наличие на конфликт на интереси на основание чл.28, ал.1, т.3 във връзка с чл.25, ал. 2, т. 5 от ЗПУКИ.</w:t><w:tab/><w:br/><w:tab/><w:t xml:space="preserve">РЕШЕНИЕТО подлежи на касационно обжалване пред петчленен състав на Върховния административен съд в 14-дневен срок от съобщението му на страните.</w:t><w:tab/><w:br/><w:tab/><w:t xml:space="preserve">Вярно с оригинала,</w:t><w:tab/><w:br/><w:tab/><w:t xml:space="preserve">ПРЕДСЕДАТЕЛ:</w:t><w:tab/><w:br/><w:tab/><w:t xml:space="preserve">/п/ М. М.</w:t><w:tab/><w:br/><w:tab/><w:t xml:space="preserve">секретар:</w:t><w:tab/><w:br/><w:tab/><w:t xml:space="preserve">ЧЛЕНОВЕ:</w:t><w:tab/><w:br/><w:tab/><w:t xml:space="preserve">/п/ В. Г./п/ И. С.</w:t><w:tab/><w:br/><w:tab/><w:t xml:space="preserve">М.М.</w:t><w:tab/><w:br/><w:tab/><w:t xml:space="preserve"></w:t><w:tab/><w:br/><w:tab/><w:t xml:space="preserve"></w:t></w:r></w:p><w:p w14:paraId="1B71B1D1" w14:textId="77777777" w:rsidR="00392F10" w:rsidRPr="00B20476" w:rsidRDefault="00392F10"/><w:sectPr w:rsidR="00392F10" w:rsidRPr="00B20476" w:rsidSect="00F22E91"><w:headerReference w:type="even" r:id="rId7"/><w:headerReference w:type="default" r:id="rId8"/><w:footerReference w:type="even" r:id="rId9"/><w:footerReference w:type="default" r:id="rId10"/><w:headerReference w:type="first" r:id="rId11"/><w:footerReference w:type="first" r:id="rId12"/><w:pgSz w:w="11906" w:h="16838"/><w:pgMar w:top="1417" w:right="1417" w:bottom="1417" w:left="1417" w:header="708" w:footer="708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