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№8455/13.07.2021 по адм. д. №6701/2021 на ВАС, докладвано от председателя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чл.216 и сл. от ЗОП (ЗАКОН ЗЗД ОБЩЕСТВЕНИТЕ ПОРЪЧКИ) /ЗОП/ вр. с чл.208 и сл. от Административнопроцесуалния кодекс /АПК/.</w:t>
        <w:tab/>
        <w:br/>
        <w:tab/>
        <w:t xml:space="preserve">Образувано е по касационна жалба на главния секретар на Държавна агенция „Електронно управление“ /ДАЕУ/, упълномощен от председателя на ДАЕУ срещу решение №484 от 13.05.2021г., постановено по преписка №КЗК-202 от 2021г. на Комисията за защита на конкуренцията /КЗК/. С него е отменено действие на възложителя във връзка с издадено Разяснение № ДАЕУ-2084 от 08.02.2021 г. в частта относно предоставения отговор по въпрос № 1, издадено от Председателя на Държавна агенция "Електронно управление" в отговор на искане за разяснения по обществена поръчка с предмет: "Изграждане, развитие и гаранционна поддръжка на елементи от националната система за киберсигурност", открита с Решение изх. № ДАЕУ – 551 от 07.01.2021 г. на Главния секретар на ДАЕУ и е върната преписката на възложителя за прекратяване на процедурата при спазване на задължителни указания, както и в частта за разноските. Твърди се, че решението на КЗК е „недопустимо, неправилно и необосновано“. Иска отмяната му като „потвърдите като законосъобразно действие на възложителя във връзка с издадено разяснение №ДАЕУ-2084 от 8.2.2021г. в частта за предоставения отговор на въпрос №1, издадено от Председателя“ на ДАЕУ. Претендира присъждане на направените разноски в настоящето производство.</w:t>
        <w:tab/>
        <w:br/>
        <w:tab/>
        <w:t xml:space="preserve">„Технологика“ ЕАД, представлявано от адвокат Хорозова оспорва жалбата. Счита решението на КЗК за правилно като излага подробни доводи в писмено становище по делото.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като взе предвид разпоредбите на чл.218 и сл. от АПК, приема за установено следното:</w:t>
        <w:tab/>
        <w:br/>
        <w:tab/>
        <w:t xml:space="preserve">Касационната жалба е допустима като подадена в срок и от надлежна страна, разгледана по същество е неоснователна.</w:t>
        <w:tab/>
        <w:br/>
        <w:tab/>
        <w:t xml:space="preserve">Предмет на контрол пред настоящата инстанция е частта от решението на КЗК, с което е отменено действие на възложителя във връзка с издадено Разяснение № ДАЕУ-2084 от 08.02.2021 г. в частта относно предоставения отговор по въпрос № 1, издадено от Председателя на Държавна агенция "Електронно управление" в отговор на искане за разяснения по обществена поръчка с предмет: "Изграждане, развитие и гаранционна поддръжка на елементи от националната система за киберсигурност", открита с Решение изх. № ДАЕУ – 551 от 07.01.2021 г. на Главния секретар на ДАЕУ и е върната преписката за прекратяването й по указанията, дадени в решението. КЗК е разгледала представените й данни по преписката, зададените въпроси, оспорвания отговор и е достигнала до извод за допуснато нарушение на материалния като, поради което съобразявайки се с разпоредбите на чл.63,65 и 67 от ЗОП (ЗАКОН ЗЗД ОБЩЕСТВЕНИТЕ ПОРЪЧКИ) е отменила атакуваното разяснение в оспорената част.</w:t>
        <w:tab/>
        <w:br/>
        <w:tab/>
        <w:t xml:space="preserve">Решението е правилно. Не са допуснати нарушения на материалния закон, съществени нарушения на процесуалните правила, актът на КЗК е надлежно и подробно обоснован. Съобразен е с приложимите разпоредби на материалния закон и утвърдената съдебна практика.</w:t>
        <w:tab/>
        <w:br/>
        <w:tab/>
        <w:t xml:space="preserve">Няма спор, че според чл. 33 от ЗОП, лицата могат да поискат писмено от възложителя разяснения по решението, обявлението и документацията за обществената поръчка до 10 дни преди изтичане на срока за получаване на заявленията за участие и/или офертите, като възложителят трябва да предостави разясненията в четиридневен срок от постъпването на искането, чрез публикуването им на профила на купувача. В ал. 5 на горецитираната разпоредба изрично е посочено, че с разясненията не може да се въвеждат промени в условията на процедурата.</w:t>
        <w:tab/>
        <w:br/>
        <w:tab/>
        <w:t xml:space="preserve">Със спорното разяснение, от една страна се въвеждат промени в условията на процедурата в нарушение на чл. 33, ал. 5 от 3OП, а от друга - въведените нови условия са в противоречие с чл. 65 и чл. 67 от 3OП.</w:t>
        <w:tab/>
        <w:br/>
        <w:tab/>
        <w:t xml:space="preserve">Използването на капацитета на трети лица е уредено в разпоредбата на чл. 65 ЗОП, като в ал. 1, където е регламентирано, че кандидатите или участниците могат да се позоват на капацитета на трети лица, независимо от правната връзка между тях, по отношение на критериите, свързани с икономическото и финансово състояние, техническите способности и професионалната компетентност. В чл. 65, ал. 2 от ЗОП се уточнява, че по отношение на критериите, свързани с професионална компетентност и опит за изпълнение на поръчката, кандидатите или участниците могат да използват капацитета на трети лица само ако тези лица ще участват в изпълнението на частта от поръчката, за която е необходим този капацитет. От анализа на цитираните разпоредби, следва да се направи разграничение между третите лица – тези, чийто капацитет ще се използва и лицата, с чието образование, квалификация или опит се доказва изпълнението на изискванията. Към последните е въведено изискването да участват в изпълнението на частта от поръчката, за която е необходим капацитетът. Те нямат качеството на трети лица по отношение на участника, а са част от персонала, който ще изпълнява предмета на поръчката. В този смисъл експертите, които ще изпълняват поръчката не са трети лица по смисъла на чл. 65 ЗОП, поради което не следва да попълват отделни ЕЕДОП.</w:t>
        <w:tab/>
        <w:br/>
        <w:tab/>
        <w:t xml:space="preserve">В този смисъл, направеното пред КЗК оплакване от ответника по касационната жалба правилно е било прието за основателно.</w:t>
        <w:tab/>
        <w:br/>
        <w:tab/>
        <w:t xml:space="preserve">Според разпоредбата на чл. 67, ал. 1 от ЗОП, съгласно която при подаване на заявление за участие или оферта кандидатът или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(ЕЕДОП). В него се предоставя съответната информация, изисквана от възложителя, и се посочват националните бази данни, в които се съдържат декларираните обстоятелства, или компетентните органи, които съгласно законодателството на държавата, в която кандидатът или участникът е установен, са длъжни да предоставят информация. В чл. 67, ал. 2 от ЗОП се внася допълнително уточнение, че когато участникът е посочил, че ще ползва капацитета на трети лица за доказване на съответствието с критериите за подбор или че ще използва подизпълнители, за всяко от тези лица се представя отделен ЕЕДОП, който съдържа информацията по ал. 1. В контекста на коментираното изискване, може да се обобщи, че за удостоверяване на съответствие с критерия за подбор за наличие на технически лица, участникът в процедурата следва да подаде ЕЕДОП, в който да предостави информация за посочените експерти. В случай, че експертите или част от тях представляват капацитет на трето лице, за последното възниква задължение да представи ЕЕДОП.</w:t>
        <w:tab/>
        <w:br/>
        <w:tab/>
        <w:t xml:space="preserve">Задължение за представяне на ЕЕДОП възниква, само когато изискването за наличие на екип за изпълнение на обществената поръчка е поставено като критерии за подбор, съгласно чл. 63, ал. 1, т. 2 от ЗОП. В разглежданата процедура, екипът за изпълнение на обществената поръчка подлежи на оценяване, съгласно утвърдената методика за оценка. Изискванията към ръководителя и експертите са част от техническата спецификация по процедурата, посочени са в т. 2.1 от раздел IV Указания за подготовка на заявленията/офертите и касаят техническото предложение на участниците. Доколкото последните не са критерии за подбор в настоящата процедура, то за тях не е необходимо представяне на ЕЕДОП и не следва да се прилагат условията и правилата за деклариране в Единният европейски документ за обществени поръчки. Законодателят е очертал рамките на обстоятелствата, които следва да се сочат в ЕЕДОП, свеждайки ги до деклариране на липсата на основанията за отстраняване и съответствие с критериите за подбор.</w:t>
        <w:tab/>
        <w:br/>
        <w:tab/>
        <w:t xml:space="preserve">Обжалваните действия на възложителя, във връзка с издаване на Разяснение с изх. № ДАЕУ-2084 от 08.02.2021 г. на Председателя на Държавна агенция "Електронно управление", правилно са били отменени в частта относно предоставения отговор по въпрос № 1.</w:t>
        <w:tab/>
        <w:br/>
        <w:tab/>
        <w:t xml:space="preserve">Решението следва да бъде оставено в сила. На ответника се следват разноски за тази инстанция, според представените списък с доказателства в размер на 1500 лв. Касаторът не прави възражение за прекомерност.</w:t>
        <w:tab/>
        <w:br/>
        <w:tab/>
        <w:t xml:space="preserve">По изложените съображения и на основание чл.221 ал.2 от АПК, Върховен административен съд, четвърто отделение РЕШИ: </w:t>
        <w:tab/>
        <w:br/>
        <w:tab/>
        <w:t xml:space="preserve">ОСТАВЯ В СИЛА решение №484 от 13.05.2021г., постановено по преписка №КЗК-202 от 2021г. на Комисията за защита на конкуренцията.</w:t>
        <w:tab/>
        <w:br/>
        <w:tab/>
        <w:t xml:space="preserve">ОСЪЖДА Държавна агенция „Електронно управление“ /ДАЕУ/ да заплати на „ТехноЛогика“ ЕАД, представлявано от изпълнителния директор О.Т сумата 1500 лв. разноски за тази инстанция.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