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№358/05.05.2021 по гр. д. №3712/2020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358</w:t>
        <w:tab/>
        <w:br/>
        <w:tab/>
        <w:t xml:space="preserve"> </w:t>
        <w:tab/>
        <w:br/>
        <w:tab/>
        <w:t xml:space="preserve">гр. София, 05.05.2021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09 март през две хиляди двадесет и първа година в състав:</w:t>
        <w:tab/>
        <w:br/>
        <w:tab/>
        <w:t xml:space="preserve"> </w:t>
        <w:tab/>
        <w:br/>
        <w:tab/>
        <w:t xml:space="preserve"> ПРЕДСЕДАТЕЛ:В. Р. Ч:ЗОЯ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3712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„Енерго - П. П“ АД, чрез адв. М. Л. срещу решение № 260375/18.08.2020 г. по в. гр. дело № 1151/2020 г. на Варненския окръжен съд, с което е потвърдено решение № 1635/26.03.2020 г. по гр. дело № 16498/2019 г. на Варненския районен съд и е осъден „Енерго-П. П” АД да заплати на Х. М. Д. сумата 600 лв. разноски по делото за въззивната инстанция.</w:t>
        <w:tab/>
        <w:br/>
        <w:tab/>
        <w:t xml:space="preserve"> </w:t>
        <w:tab/>
        <w:br/>
        <w:tab/>
        <w:t xml:space="preserve">Поддържаните основания за неправилност на решението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отхвърли.</w:t>
        <w:tab/>
        <w:br/>
        <w:tab/>
        <w:t xml:space="preserve"> </w:t>
        <w:tab/>
        <w:br/>
        <w:tab/>
        <w:t xml:space="preserve">В изложението са формулирани въпросите:1. При установено софтуерно въздействие върху средството за измерване, в резултат на което с него е измерено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Решен в противоречие с практиката на ВКС. 2.След отмяната на чл.1 до чл.47 и чл.52 до чл.56 от ПИКЕЕ с решение № 1500 от 06.02.2017 г. по адм. дело № 2835/2016 г. на петчленен състав на ВАС могат ли да се прилагат разпоредбите на чл.48 до чл.51 включително? Решен в противоречие с практиката на ВКС.</w:t>
        <w:tab/>
        <w:br/>
        <w:tab/>
        <w:t xml:space="preserve"> </w:t>
        <w:tab/>
        <w:br/>
        <w:tab/>
        <w:t xml:space="preserve">Ответникът по касационната жалба Х. М. Д., чрез адв. Р. С.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подлежи на касационно обжалване и е процесуално допустима.</w:t>
        <w:tab/>
        <w:br/>
        <w:tab/>
        <w:t xml:space="preserve"> </w:t>
        <w:tab/>
        <w:br/>
        <w:tab/>
        <w:t xml:space="preserve">Въззивният съд се е произнесъл по предявен отрицателен установителен иск по чл.124,ал.1 ГПК.</w:t>
        <w:tab/>
        <w:br/>
        <w:tab/>
        <w:t xml:space="preserve"> </w:t>
        <w:tab/>
        <w:br/>
        <w:tab/>
        <w:t xml:space="preserve">Прието е за безспорно по делото, че страните се намират в облигационна връзка с предмет продажба и доставка на ел. енергия и че ищецът има качество потребител на ел. енергия по смисъла на ЗЕ.</w:t>
        <w:tab/>
        <w:br/>
        <w:tab/>
        <w:t xml:space="preserve"> </w:t>
        <w:tab/>
        <w:br/>
        <w:tab/>
        <w:t xml:space="preserve">Прието е за установено от представения по делото констативен протокол № 1202470/20.11.2018г., че служители на „Енерго-П. М“ АД са извършили техническа проверка на електромера, отчитащ потреблението за процесния обект. В резултат на проверката СТИ е демонтирано и изпратено в БИМ за проверка, като на негово място е монтиран нов. </w:t>
        <w:tab/>
        <w:br/>
        <w:tab/>
        <w:t xml:space="preserve"> </w:t>
        <w:tab/>
        <w:br/>
        <w:tab/>
        <w:t xml:space="preserve">Съдът е приел, че съгласно констативен протокол от метрологична експертиза на средство за измерване № 2177/19.09.2019 г. при софтуерно четене не е установена външна намеса в тарифната схема на електромера. В протокола е отразено, че действително потребената ел. енергия се разпределя и върху невизуализираната тарифа Т4 – 028273.5 kWh., че електромерът съответства на метрологичните характеристики. </w:t>
        <w:tab/>
        <w:br/>
        <w:tab/>
        <w:t xml:space="preserve"> </w:t>
        <w:tab/>
        <w:br/>
        <w:tab/>
        <w:t xml:space="preserve">Прието е, че въз основа на установените от метрологичната експертиза обстоятелства е съставено становище от 25.09.2019 г. за начисление на електрическа енергия в размер на 28 273 kWh за периода от 21.10.2017- 20.10.2018 г., в което е посочено, че корекцията е извършена на основание софтуерно прочитане на паметта на СТИ, констатирало точното количество неотчетена ел. енергия. </w:t>
        <w:tab/>
        <w:br/>
        <w:tab/>
        <w:t xml:space="preserve"> </w:t>
        <w:tab/>
        <w:br/>
        <w:tab/>
        <w:t xml:space="preserve">Посочено е, че за стойността на това количество е издадена фактура № [ЕГН]/27.09.2019 г. на стойност 5 360.78 лева. Прието е за безспорно между страните, че сумата по процесната фактура не е заплатена от абоната на дружеството.</w:t>
        <w:tab/>
        <w:br/>
        <w:tab/>
        <w:t xml:space="preserve"> </w:t>
        <w:tab/>
        <w:br/>
        <w:tab/>
        <w:t xml:space="preserve">Прието е за установено от заключението на допуснатата по делото съдебно-техническа експертиза, че електромерът е тип М-02- „CARATDIGITRON“, показва потребяваната ел. енергия по два визуализиращи се екрани 1.8.1 и 1.8.2. Прието е още, че според вещото лице, натрупаното количество ел. енергия в регистър 1.8.4 е възможно да бъде отразеното там само след софтуерно проникване в паметта на електромера, чрез претарифиране на отделните тарифи. Съдът е приел, че в констативния протокол на „ЕРП – Север“ се посочено, че няма въздействие върху целостта на електромера. Изведен е извод, че не е извършван неправомерен достъп, че въздействието е извършено, чрез инфрачервен порт на електромера. </w:t>
        <w:tab/>
        <w:br/>
        <w:tab/>
        <w:t xml:space="preserve"> </w:t>
        <w:tab/>
        <w:br/>
        <w:tab/>
        <w:t xml:space="preserve">Приел е, че манипулацията цели неотчитане в пълен обем на количеството ел. енергия по нощна и дневна тарифни зони, че препрограмирането осъществява прехвърляне на ел. енергия в скрития регистър 1.8.4, който не се визуализира на дисплея на електромера при редовен отчет на инкасатора и реално не се заплаща. Приел е още, че вещото лице е посочило, че съществуват данни за неправомерно вмешателство чрез човешка намеса в процесния СТИ, доказано от независимо изследване на БИМ, и че извършените изчисления по процесната фактура са коректни. </w:t>
        <w:tab/>
        <w:br/>
        <w:tab/>
        <w:t xml:space="preserve"> </w:t>
        <w:tab/>
        <w:br/>
        <w:tab/>
        <w:t xml:space="preserve">Въз основа на така изложената фактическа обстановка, съдът направи следните правни изводи:</w:t>
        <w:tab/>
        <w:br/>
        <w:tab/>
        <w:t xml:space="preserve"> </w:t>
        <w:tab/>
        <w:br/>
        <w:tab/>
        <w:t xml:space="preserve">Предявеният иск намира своето правно основание в разпоредбата на чл. 124, ал. 1 от ГПК. </w:t>
        <w:tab/>
        <w:br/>
        <w:tab/>
        <w:t xml:space="preserve"> </w:t>
        <w:tab/>
        <w:br/>
        <w:tab/>
        <w:t xml:space="preserve">От правна страна е прието, че за установяване недължимостта на процесната сума ответното дружество съобразно правилата за разпределение на доказателствената тежест в процеса, следва да докаже дължимостта на начислената сума - че в резултат на извършената проверка законосъобразно и при спазване на предвидените в ПИКЕЕ условия и ред е начислена процесната сума, като количество електроенергия е реално доставено на ищеца в посочения период.</w:t>
        <w:tab/>
        <w:br/>
        <w:tab/>
        <w:t xml:space="preserve"> </w:t>
        <w:tab/>
        <w:br/>
        <w:tab/>
        <w:t xml:space="preserve">Съдът е приел за безспорно по делото обстоятелството, че страните са обвързани от валидно облигационно правоотношение - по силата на сключен между тях договор за продажба на електрическа енергия при общи условия, по силата на който ищецът е битов клиент по смисъла на § 1, т. 2а от Допълнителните разпоредби на ЗЕ (ЗАКОН ЗЗД ЕНЕРГЕТИКАТА) за описания в исковата молба обект на потребление. Приел е, че приложими към процесните правоотношения са нормите на ЗЕ (ЗАКОН ЗЗД ЕНЕРГЕТИКАТА) (ЗЕ) и Правилата за измерване на количеството електрическа енергия (ПИКЕЕ), обнародвани в ДВ, бр. 98 от 12.11.2013 г., издадени от председателя на Държавната комисия за енергийно и водно регулиране (ДКЕВР) и приети с решение на ДКЕВР по т. 3 от Протокол № 147/14.10.2013 г., на основание чл. 83, ал. 1, т. 6, вр. ал. 2 от ЗЕ (ЗАКОН ЗЗД ЕНЕРГЕТИКАТА), в сила от 16.11.2013 г.</w:t>
        <w:tab/>
        <w:br/>
        <w:tab/>
        <w:t xml:space="preserve"> </w:t>
        <w:tab/>
        <w:br/>
        <w:tab/>
        <w:t xml:space="preserve">Прието е, че с решение № 1500 от 6.02.2017 г. на ВАС по адм. д. № 2385/2016 г., 5 - членен състав (обн. ДВ, бр. 15/14.02.2017 г.) разпоредбите на чл. 1 - 47 и чл. 52 – 56 ПИКЕЕ (обн., ДВ, бр. 98 от 12.11.2013 г.) са отменени. С решение на ВАС № 2315/21.02.2018г., потвърдено с решение №1369/08.11.2018г., са отменени ПИКЕЕ и в частта на чл.48-чл.51. Съдът е приел по аргумент от разпоредбата на чл. 195, ал. 1 във вр. чл. 194 АПК, че подзаконовият нормативен акт се смята за отменен от деня на обнародването на съдебното решение. Формиран е извод, че посочените разпоредби от ПИКЕЕ са неприложими към настоящия спор, доколкото техническата проверка в обекта на потребление, констатирала неточното измерване на електромера, е извършена на 20.11.2018 г. – след тяхната отмяна.</w:t>
        <w:tab/>
        <w:br/>
        <w:tab/>
        <w:t xml:space="preserve"> </w:t>
        <w:tab/>
        <w:br/>
        <w:tab/>
        <w:t xml:space="preserve">Въззивният съд е приел, че с оглед действието занапред на решението на ВАС и съобразно предвидената законова делегация в чл. 83, ал. 2 от ЗЕ до приемане на нови ПИКЕЕ, уреждащи аналогични на предвидените в чл.41 - 44 от ПИКЕЕ ред и предпоставки за извършване на проверки за метрологична, функционална и техническа изправност на СТИ, въззивното дружество не може да се ползва от корекционната процедура, за която и към датата на проверката е липсвал нормативен ред за установяване на условията за корекционна процедура и начина на извършване на проверка на СТИ. Според съда дори и да се приеме, че съставеният от служители на дружеството констативен протокол, ценен като частен свидетелстващ документ и протоколът от метрологичната експертиза установяват наличието на неотчетено при редовните месечни отчети количество ел. енергия, то не са налице основания за извършеното преизчисление. </w:t>
        <w:tab/>
        <w:br/>
        <w:tab/>
        <w:t xml:space="preserve"> </w:t>
        <w:tab/>
        <w:br/>
        <w:tab/>
        <w:t xml:space="preserve">Прието е, че според чл.48-49 от ПИКЕЕ следва да е налице неточно измерване/неизмерване на СТИ, липса на СТИ или промяна в схемата на свързване, надлежно констатирани при извършената по реда на чл.47 от ПИКЕЕ проверка, установени от независим орган. Прието е още, че в настоящия случай не е налице нито една от тези хипотези, че не се претендира корекцията да е извършена по разписаните в тези две разпоредби методологии. Посочено е, че към тях препраща и чл. 27 от ОУ. Съдът е приел, че тези хипотези са следните: установено от независим орган неточно измерване/неизмерване на СТИ, липса на СТИ, като в настоящия случай не е налице нито една от изброените. Приел е, че в случая в представения протокол от проверка от БИМ липсва констатация, че СТИ измерва с грешка извън допустимата. Прието е, че в становището за начисляване на електроенергия е посочено само, че е извършено софтуерно прочитане на паметта на СТИ, че съгласно приетото по делото заключение на СТЕ тази тарифа е скрита. Посочено е, че не са ангажирани доказателства, че потребителят е заявил желание за отчитане по тарифа 1.8.3, като липсват и твърдения на ответното дружества в този смисъл. Според съда при липса на предпоставките по чл.48 от ПИКЕЕ, процесното количество електроенергия не може да се остойностява и претендира от абоната по реда на корекционната процедура по ПИКЕЕ. Прието е за недоказано е и обстоятелството за начина и причината, в резултат на която в СТИ е отчетена електроенергия в регистър 1.8.3, и в конкретно това да се дължи на виновно поведение от абоната. </w:t>
        <w:tab/>
        <w:br/>
        <w:tab/>
        <w:t xml:space="preserve"> </w:t>
        <w:tab/>
        <w:br/>
        <w:tab/>
        <w:t xml:space="preserve">Въззивният съд е приел, че правото на едностранна корекция на сметките на потребителя за минал период, регламентирано в чл. 50 от ПИКЕЕ, не е възникнало за ответното дружество и на това основание, доколкото не са осъществени нормативно предвидените предпоставки за това. Посочено е, че според разпоредбата на чл. 50 от ПИКЕЕ при установено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w:t>
        <w:tab/>
        <w:br/>
        <w:tab/>
        <w:t xml:space="preserve"> </w:t>
        <w:tab/>
        <w:br/>
        <w:tab/>
        <w:t xml:space="preserve">Прието е, че не е установен от събраните доказателства точният момент, от който електромерът, настроен за двутарифен отчет, е започнал да отчита потребената енергия в регистър 1.8.4. Според съда допълнително начисляване на ел. енергия би било допустимо само при установяване виновно поведение на конкретно лице и периода на неотчитане и реално потребеното количество ел. енергия, което в настоящия случай не е доказано. Приел е, че изводът не се разколебава и от приетата по делото съдебно-техническа експертиза, съобразно която натрупването на ел. енергия в регистър 1.8.4 означава неправомерно софтуерно въздействие върху СТИ. Изведен е извод, че при тези данни не може да се изведе категоричен извод за виновно поведение от страна на абоната през точно определен период от време. Съобразен е и факта, че отчетът по скрит и недостъпен за потребителя регистър е в пряко нарушение на разпоредбата на чл.10 от ПИКЕЕ, която задължава дружеството-доставчик да осигурява на страната, която купува електроенергия, възможност да контролира показанията на СТИ. Посочено е, че в случая тази възможност за абоната е възпрепятствана. Според съда отчетът по незаявена от потребителя тарифа е в противоречие и с нормата на чл.11 от ПИКЕЕ и чл.120, ал.4 от ЗЕ, където е въведено изискване за зоново в денонощието измерване на потребеното ел. напрежение, което в случая е възможно да се осъществява.</w:t>
        <w:tab/>
        <w:br/>
        <w:tab/>
        <w:t xml:space="preserve"> </w:t>
        <w:tab/>
        <w:br/>
        <w:tab/>
        <w:t xml:space="preserve">При тези съображения е формиран извод, че ответникът не е провел пълно доказване на факта, че абонатът е потребил реално процесната електроенергия в процесния период, поради което предявеният отрицателен установителен иск е основателен. </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чл.280,ал.1,т.1 ГПК по първи и втори въпрос от изложението.</w:t>
        <w:tab/>
        <w:br/>
        <w:tab/>
        <w:t xml:space="preserve"> </w:t>
        <w:tab/>
        <w:br/>
        <w:tab/>
        <w:t xml:space="preserve">С решение № 150/26.06.2019 г. по гр. дело № 4160/2018 г. на ВКС, III г. о. по чл.290 ГПК. е възприета практиката на ВКС, изразена в решение № 21/01.03.2017г. по гр. д. № 50417/2016 г. на ВКС, I г. о. В последното се съдържа разрешение на правния въпрос за времето преди измененията в чл. 83, ал. 1, т. 6 и чл. 98а, ал. 2, т. 6 ЗЕ /обн. ДВ бр. 54/2012г./ и преди приемането на ПИКЕЕ от 2013г., според което е допустимо електроразпределителното дружество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w:t>
        <w:tab/>
        <w:br/>
        <w:tab/>
        <w:t xml:space="preserve"> </w:t>
        <w:tab/>
        <w:br/>
        <w:tab/>
        <w:t xml:space="preserve"> Съдебният състав е приел, че посоченото разрешение, поради принципното му сходство, следва да намери приложение и в настоящата хипотеза, при която са отменени ПИКЕЕ от 2013г., с изключение на чл. 48 – чл. 51, и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Това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w:t>
        <w:tab/>
        <w:br/>
        <w:tab/>
        <w:t xml:space="preserve"> </w:t>
        <w:tab/>
        <w:br/>
        <w:tab/>
        <w:t xml:space="preserve"> Според общата норма на чл. 183 ЗЗД, когато е доставено определено количество енергия, но поради допусната грешка е отчетена енергия в по - малък размер и съответно е заплатена по - 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 г., в сила от 14.02.1017г. и № 3879/2017г., в сила от 23.11.2018г /,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Посочено е, че според константната практика на ВКС /решение №97 от 28.07.2015 г. по т. д.№877/2014 г. на ВКС, І ТО, решение №115 от 20.05.2015 г. по гр. д.№4907/2014 г. на ВКС, ІV ГО, решение № 19 от 21. 02. 2014г. по т. д. № 2014/2013г. на ВКС, ІІ ТО, решение № 228/10.09.2012г. по гр. д.№ 311/2011г. на ВКС, ІV ГО, решение № 487/29.11.2012г. по гр. д.№1750/2011г.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w:t>
        <w:tab/>
        <w:br/>
        <w:tab/>
        <w:t xml:space="preserve"> </w:t>
        <w:tab/>
        <w:br/>
        <w:tab/>
        <w:t xml:space="preserve">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 – чл. 51 ПИКЕЕ от 2013г. В същата насока е разрешението на правния въпрос в решение № 124/18.06.2019 г. по гр. дело № 2991/2018 г. на ВКС, III г. о. по чл.290 ГПК. Правните въпроси са разрешени в противоречие с тази практика на ВКС. </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260375/18.08.2020 г. по в. гр. дело № 1151/2020 г. на Варненския окръжен съд по касационна жалба вх. № 266611/24.09.2020 г., подадена от ответника „Енерго – П. П” АД, ЕИК[ЕИК], с адрес гр. Варна, В. Т-Г, [улица], чрез адв. М. Л..</w:t>
        <w:tab/>
        <w:br/>
        <w:tab/>
        <w:t xml:space="preserve"> </w:t>
        <w:tab/>
        <w:br/>
        <w:tab/>
        <w:t xml:space="preserve">Указва на жалбоподателя „Енерго – П. П” АД, [населено място] в едноседмичен срок от съобщението да внесе по сметка на ВКС сумата 107.22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