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№482/17.11.2011 по нак. д. №2314/2011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17 ноември 201</w:t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> </w:t>
        <w:tab/>
        <w:br/>
        <w:tab/>
        <w:t xml:space="preserve">16</w:t>
        <w:tab/>
        <w:br/>
        <w:tab/>
        <w:t xml:space="preserve"/>
        <w:tab/>
        <w:br/>
        <w:tab/>
        <w:t xml:space="preserve">ноември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единадесет</w:t>
        <w:tab/>
        <w:br/>
        <w:tab/>
        <w:t xml:space="preserve"> </w:t>
        <w:tab/>
        <w:br/>
        <w:tab/>
        <w:t xml:space="preserve">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Елена Авдева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Н. Цек</w:t>
        <w:tab/>
        <w:br/>
        <w:tab/>
        <w:t xml:space="preserve"> </w:t>
        <w:tab/>
        <w:br/>
        <w:tab/>
        <w:t xml:space="preserve">ова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Д. Генчев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2314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Делото е образувано по</w:t>
        <w:tab/>
        <w:br/>
        <w:tab/>
        <w:t xml:space="preserve"> </w:t>
        <w:tab/>
        <w:br/>
        <w:tab/>
        <w:t xml:space="preserve"> направено</w:t>
        <w:tab/>
        <w:br/>
        <w:tab/>
        <w:t xml:space="preserve"/>
        <w:tab/>
        <w:br/>
        <w:tab/>
        <w:t xml:space="preserve">искан</w:t>
        <w:tab/>
        <w:br/>
        <w:tab/>
        <w:t xml:space="preserve"> </w:t>
        <w:tab/>
        <w:br/>
        <w:tab/>
        <w:t xml:space="preserve">е </w:t>
        <w:tab/>
        <w:br/>
        <w:tab/>
        <w:t xml:space="preserve"> </w:t>
        <w:tab/>
        <w:br/>
        <w:tab/>
        <w:t xml:space="preserve">от</w:t>
        <w:tab/>
        <w:br/>
        <w:tab/>
        <w:t xml:space="preserve"> </w:t>
        <w:tab/>
        <w:br/>
        <w:tab/>
        <w:t xml:space="preserve"> Главния прокурор на Република 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възобновяване на </w:t>
        <w:tab/>
        <w:br/>
        <w:tab/>
        <w:t xml:space="preserve"> </w:t>
        <w:tab/>
        <w:br/>
        <w:tab/>
        <w:t xml:space="preserve">нох</w:t>
        <w:tab/>
        <w:br/>
        <w:tab/>
        <w:t xml:space="preserve"> </w:t>
        <w:tab/>
        <w:br/>
        <w:tab/>
        <w:t xml:space="preserve">д № </w:t>
        <w:tab/>
        <w:br/>
        <w:tab/>
        <w:t xml:space="preserve"> </w:t>
        <w:tab/>
        <w:br/>
        <w:tab/>
        <w:t xml:space="preserve">773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г., на </w:t>
        <w:tab/>
        <w:br/>
        <w:tab/>
        <w:t xml:space="preserve"> </w:t>
        <w:tab/>
        <w:br/>
        <w:tab/>
        <w:t xml:space="preserve">Софийски градски съд</w:t>
        <w:tab/>
        <w:br/>
        <w:tab/>
        <w:t xml:space="preserve"> </w:t>
        <w:tab/>
        <w:br/>
        <w:tab/>
        <w:t xml:space="preserve">. Предмет на </w:t>
        <w:tab/>
        <w:br/>
        <w:tab/>
        <w:t xml:space="preserve"> </w:t>
        <w:tab/>
        <w:br/>
        <w:tab/>
        <w:t xml:space="preserve">също</w:t>
        <w:tab/>
        <w:br/>
        <w:tab/>
        <w:t xml:space="preserve"> </w:t>
        <w:tab/>
        <w:br/>
        <w:tab/>
        <w:t xml:space="preserve">то </w:t>
        <w:tab/>
        <w:br/>
        <w:tab/>
        <w:t xml:space="preserve"> </w:t>
        <w:tab/>
        <w:br/>
        <w:tab/>
        <w:t xml:space="preserve">са</w:t>
        <w:tab/>
        <w:br/>
        <w:tab/>
        <w:t xml:space="preserve"> </w:t>
        <w:tab/>
        <w:br/>
        <w:tab/>
        <w:t xml:space="preserve"> вл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зл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в сила</w:t>
        <w:tab/>
        <w:br/>
        <w:tab/>
        <w:t xml:space="preserve"> </w:t>
        <w:tab/>
        <w:br/>
        <w:tab/>
        <w:t xml:space="preserve"> две определения</w:t>
        <w:tab/>
        <w:br/>
        <w:tab/>
        <w:t xml:space="preserve"/>
        <w:tab/>
        <w:br/>
        <w:tab/>
        <w:t xml:space="preserve">от 10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05.</w:t>
        <w:tab/>
        <w:br/>
        <w:tab/>
        <w:t xml:space="preserve"> </w:t>
        <w:tab/>
        <w:br/>
        <w:tab/>
        <w:t xml:space="preserve">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в частите с които е определен типа на затворническото заведение и първоначалния режим на изтърпяване на наложеното наказание лишаване от свобода.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</w:t>
        <w:tab/>
        <w:br/>
        <w:tab/>
        <w:t xml:space="preserve"> </w:t>
        <w:tab/>
        <w:br/>
        <w:tab/>
        <w:t xml:space="preserve">искан</w:t>
        <w:tab/>
        <w:br/>
        <w:tab/>
        <w:t xml:space="preserve"> </w:t>
        <w:tab/>
        <w:br/>
        <w:tab/>
        <w:t xml:space="preserve">ето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изложен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в него основани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Защитникът на осъдения</w:t>
        <w:tab/>
        <w:br/>
        <w:tab/>
        <w:t xml:space="preserve"> </w:t>
        <w:tab/>
        <w:br/>
        <w:tab/>
        <w:t xml:space="preserve"> изразява становище, че </w:t>
        <w:tab/>
        <w:br/>
        <w:tab/>
        <w:t xml:space="preserve"> </w:t>
        <w:tab/>
        <w:br/>
        <w:tab/>
        <w:t xml:space="preserve">искан</w:t>
        <w:tab/>
        <w:br/>
        <w:tab/>
        <w:t xml:space="preserve"> </w:t>
        <w:tab/>
        <w:br/>
        <w:tab/>
        <w:t xml:space="preserve">ето</w:t>
        <w:tab/>
        <w:br/>
        <w:tab/>
        <w:t xml:space="preserve"> </w:t>
        <w:tab/>
        <w:br/>
        <w:tab/>
        <w:t xml:space="preserve"> не </w:t>
        <w:tab/>
        <w:br/>
        <w:tab/>
        <w:t xml:space="preserve"> </w:t>
        <w:tab/>
        <w:br/>
        <w:tab/>
        <w:t xml:space="preserve"> следва да бъде уважено.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след като обсъди доводите в </w:t>
        <w:tab/>
        <w:br/>
        <w:tab/>
        <w:t xml:space="preserve"> </w:t>
        <w:tab/>
        <w:br/>
        <w:tab/>
        <w:t xml:space="preserve">искан</w:t>
        <w:tab/>
        <w:br/>
        <w:tab/>
        <w:t xml:space="preserve"> </w:t>
        <w:tab/>
        <w:br/>
        <w:tab/>
        <w:t xml:space="preserve">ето на Главния прокурор и обстоятелствата по делото, за да се произнесе съобрази следното:</w:t>
        <w:tab/>
        <w:br/>
        <w:tab/>
        <w:t xml:space="preserve"/>
        <w:tab/>
        <w:br/>
        <w:tab/>
        <w:t xml:space="preserve">Софийският градски</w:t>
        <w:tab/>
        <w:br/>
        <w:tab/>
        <w:t xml:space="preserve"> </w:t>
        <w:tab/>
        <w:br/>
        <w:tab/>
        <w:t xml:space="preserve"> съд, с</w:t>
        <w:tab/>
        <w:br/>
        <w:tab/>
        <w:t xml:space="preserve"> </w:t>
        <w:tab/>
        <w:br/>
        <w:tab/>
        <w:t xml:space="preserve"> протоколно определение от 10.05.2011 г., постановено по нохд</w:t>
        <w:tab/>
        <w:br/>
        <w:tab/>
        <w:t xml:space="preserve"/>
        <w:tab/>
        <w:br/>
        <w:tab/>
        <w:t xml:space="preserve">№ 773/</w:t>
        <w:tab/>
        <w:br/>
        <w:tab/>
        <w:t xml:space="preserve"> </w:t>
        <w:tab/>
        <w:br/>
        <w:tab/>
        <w:t xml:space="preserve">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г.,</w:t>
        <w:tab/>
        <w:br/>
        <w:tab/>
        <w:t xml:space="preserve"> </w:t>
        <w:tab/>
        <w:br/>
        <w:tab/>
        <w:t xml:space="preserve"> е одобрил споразумение, като е осъдил подс. С. Й. С. на 1 година и 6 месеца лишаване от свобода, за извършено престъпление по чл. 354а, ал. 1, изр. 1, пр. 4, ал. 1, алт. 1 НК, определяйки да го изтърпи в затворническо общежитие „открит” тип, при „общ” първоначален режим и е прекратил производството по делото. Определението е влязло в законна сила на 10.05.2011 г.</w:t>
        <w:tab/>
        <w:br/>
        <w:tab/>
        <w:t xml:space="preserve"> </w:t>
        <w:tab/>
        <w:br/>
        <w:tab/>
        <w:t xml:space="preserve"> С отделно определение от същата дата, на основание чл. 68, ал. 1 НК е привел в изпълнение определеното наказание по нохд № 12535/2004 г. на СРС, в размер на една година лишаване от свобода, което да изтърпи при „общ” режим, в затворническо заведение от „открит” тип. Определението е влязло в законна сила на 17.05.2011 г.</w:t>
        <w:tab/>
        <w:br/>
        <w:tab/>
        <w:t xml:space="preserve"/>
        <w:tab/>
        <w:br/>
        <w:tab/>
        <w:t xml:space="preserve">При безспорно установените данни по делото, искането за възобновяване се явява основателно. Определенията в посочените части</w:t>
        <w:tab/>
        <w:br/>
        <w:tab/>
        <w:t xml:space="preserve"/>
        <w:tab/>
        <w:br/>
        <w:tab/>
        <w:t xml:space="preserve">са</w:t>
        <w:tab/>
        <w:br/>
        <w:tab/>
        <w:t xml:space="preserve"> </w:t>
        <w:tab/>
        <w:br/>
        <w:tab/>
        <w:t xml:space="preserve"> постановен</w:t>
        <w:tab/>
        <w:br/>
        <w:tab/>
        <w:t xml:space="preserve"> </w:t>
        <w:tab/>
        <w:br/>
        <w:tab/>
        <w:t xml:space="preserve">и</w:t>
        <w:tab/>
        <w:br/>
        <w:tab/>
        <w:t xml:space="preserve"/>
        <w:tab/>
        <w:br/>
        <w:tab/>
        <w:t xml:space="preserve">при съществено</w:t>
        <w:tab/>
        <w:br/>
        <w:tab/>
        <w:t xml:space="preserve"> </w:t>
        <w:tab/>
        <w:br/>
        <w:tab/>
        <w:t xml:space="preserve"> нар</w:t>
        <w:tab/>
        <w:br/>
        <w:tab/>
        <w:t xml:space="preserve"> </w:t>
        <w:tab/>
        <w:br/>
        <w:tab/>
        <w:t xml:space="preserve">ушение на материалния закон – чл. 348, ал. 1, т. 1 НПК. Нарушени са разпоредбите на чл. 60, ал. 1 и чл. 61, т. 2 ЗИНЗС, тъй като съдът не е определил за изтърпяване на наказанието затворническо общежитие от „закрит” тип и „строг” първоначален режим, каквито са изискванията в случая на закона.</w:t>
        <w:tab/>
        <w:br/>
        <w:tab/>
        <w:t xml:space="preserve"> </w:t>
        <w:tab/>
        <w:br/>
        <w:tab/>
        <w:t xml:space="preserve"> Съгласно чл. 59, ал. 1 ЗИНЗС, само осъдените за първи път на лишаване от свобода до пет години за умишлени престъпления, както и осъдените за извършени престъпления по непредпазливост се настаняват в затворнически общежития от „открит” тип и се поставят при общ първоначален режим – чл. 61, т. 3 ЗИНЗС.</w:t>
        <w:tab/>
        <w:br/>
        <w:tab/>
        <w:t xml:space="preserve"> </w:t>
        <w:tab/>
        <w:br/>
        <w:tab/>
        <w:t xml:space="preserve"> Всички останали лишени от свобода, които не са осъдени за първи път, вкл. рецидивистите по смисъла на § 3 от ДР на ЗИНЗС се изпращат в затворнически общежития от „закрит” тип при „строг” режим на изтърпяване – чл. 60, ал. 1 и чл. 61, т. 2 ЗИНС.</w:t>
        <w:tab/>
        <w:br/>
        <w:tab/>
        <w:t xml:space="preserve"> </w:t>
        <w:tab/>
        <w:br/>
        <w:tab/>
        <w:t xml:space="preserve"> Видно от приложената справка за съдимост, С. С. е осъждана по две дела. Осъждането по нохд № 773/2011 г., не е първо по ред и несъмнено попада в категорията по чл. 60, ал. 1 ЗИНЗС. Градският съд незаконосъобразно ги е поставил в приложното поле на чл. 59, ал. 1 ЗИНЗС и от там неправилно е определил вида на затворническото заведение и режима на изтърпяването им, съгласно чл. 61, т. 3 ЗИНЗС. Законът не изисква предходното наказание лишаване от свобода, ако има такова, да е изтърпяно ефективно. Щом има наложено преди това наказание лишаване от свобода, чиито последици не са заличени, при постановяване на следваща присъда с ефективно такова наказание, към осъденият следва да се прилагат разпоредбите на чл. 60, ал. 1 и чл. 61, т. 2 ЗИНЗС. Това е така защото, лицето има качеството на осъден и за престъпление което е извършило след като и преди това му е било наложено наказание лишаване от свобода. Приложението на чл. 68 НК вече определя С., като лице осъждано повече от веднъж с определено такова наказание, което изключва възможността за приложение на чл. 59 ЗИНЗС. </w:t>
        <w:tab/>
        <w:br/>
        <w:tab/>
        <w:t xml:space="preserve"> </w:t>
        <w:tab/>
        <w:br/>
        <w:tab/>
        <w:t xml:space="preserve"> С оглед на т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, настоящият съдебен състав счита, че допуснатото нарушение</w:t>
        <w:tab/>
        <w:br/>
        <w:tab/>
        <w:t xml:space="preserve"> </w:t>
        <w:tab/>
        <w:br/>
        <w:tab/>
        <w:t xml:space="preserve"> на</w:t>
        <w:tab/>
        <w:br/>
        <w:tab/>
        <w:t xml:space="preserve"> </w:t>
        <w:tab/>
        <w:br/>
        <w:tab/>
        <w:t xml:space="preserve"> закон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е съществено по смисъла на чл. 3</w:t>
        <w:tab/>
        <w:br/>
        <w:tab/>
        <w:t xml:space="preserve"> </w:t>
        <w:tab/>
        <w:br/>
        <w:tab/>
        <w:t xml:space="preserve">48</w:t>
        <w:tab/>
        <w:br/>
        <w:tab/>
        <w:t xml:space="preserve"> </w:t>
        <w:tab/>
        <w:br/>
        <w:tab/>
        <w:t xml:space="preserve">, ал. </w:t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, т. 1 НПК и е основание за отмяна по реда на възобновяването на</w:t>
        <w:tab/>
        <w:br/>
        <w:tab/>
        <w:t xml:space="preserve"> </w:t>
        <w:tab/>
        <w:br/>
        <w:tab/>
        <w:t xml:space="preserve"> определенията</w:t>
        <w:tab/>
        <w:br/>
        <w:tab/>
        <w:t xml:space="preserve"> </w:t>
        <w:tab/>
        <w:br/>
        <w:tab/>
        <w:t xml:space="preserve">, на </w:t>
        <w:tab/>
        <w:br/>
        <w:tab/>
        <w:t xml:space="preserve"> </w:t>
        <w:tab/>
        <w:br/>
        <w:tab/>
        <w:t xml:space="preserve">Софийски градски съд в посочените части, спрямо С. Й. С. и</w:t>
        <w:tab/>
        <w:br/>
        <w:tab/>
        <w:t xml:space="preserve"/>
        <w:tab/>
        <w:br/>
        <w:tab/>
        <w:t xml:space="preserve">делото върнато на същият съд за ново разглеждане, от стадия на съдебното заседание.</w:t>
        <w:tab/>
        <w:br/>
        <w:tab/>
        <w:t xml:space="preserve"> </w:t>
        <w:tab/>
        <w:br/>
        <w:tab/>
        <w:t xml:space="preserve"> По гореизложените съображения и на основание чл. </w:t>
        <w:tab/>
        <w:br/>
        <w:tab/>
        <w:t xml:space="preserve"> </w:t>
        <w:tab/>
        <w:br/>
        <w:tab/>
        <w:t xml:space="preserve">425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ал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1, т. 1</w:t>
        <w:tab/>
        <w:br/>
        <w:tab/>
        <w:t xml:space="preserve"> </w:t>
        <w:tab/>
        <w:br/>
        <w:tab/>
        <w:t xml:space="preserve"> НПК, съставът на второ наказателно отделение при Върховния касационен съд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 Т М Е Н Я</w:t>
        <w:tab/>
        <w:br/>
        <w:tab/>
        <w:t xml:space="preserve"> </w:t>
        <w:tab/>
        <w:br/>
        <w:tab/>
        <w:t xml:space="preserve"> по реда на възобновяването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вл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зл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в сила</w:t>
        <w:tab/>
        <w:br/>
        <w:tab/>
        <w:t xml:space="preserve"> </w:t>
        <w:tab/>
        <w:br/>
        <w:tab/>
        <w:t xml:space="preserve"> две</w:t>
        <w:tab/>
        <w:br/>
        <w:tab/>
        <w:t xml:space="preserve"/>
        <w:tab/>
        <w:br/>
        <w:tab/>
        <w:t xml:space="preserve">определения от 10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постановен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по </w:t>
        <w:tab/>
        <w:br/>
        <w:tab/>
        <w:t xml:space="preserve"> </w:t>
        <w:tab/>
        <w:br/>
        <w:tab/>
        <w:t xml:space="preserve">нох</w:t>
        <w:tab/>
        <w:br/>
        <w:tab/>
        <w:t xml:space="preserve"> </w:t>
        <w:tab/>
        <w:br/>
        <w:tab/>
        <w:t xml:space="preserve">д № </w:t>
        <w:tab/>
        <w:br/>
        <w:tab/>
        <w:t xml:space="preserve"> </w:t>
        <w:tab/>
        <w:br/>
        <w:tab/>
        <w:t xml:space="preserve">773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11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</w:t>
        <w:tab/>
        <w:br/>
        <w:tab/>
        <w:t xml:space="preserve"> </w:t>
        <w:tab/>
        <w:br/>
        <w:tab/>
        <w:t xml:space="preserve">ки </w:t>
        <w:tab/>
        <w:br/>
        <w:tab/>
        <w:t xml:space="preserve"> </w:t>
        <w:tab/>
        <w:br/>
        <w:tab/>
        <w:t xml:space="preserve">градски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, НО, 14-ти състав, първото с което е одобрено споразумение и прекратено наказателното производство и второто за приложение на чл. 68, ал. 1 НК, </w:t>
        <w:tab/>
        <w:br/>
        <w:tab/>
        <w:t xml:space="preserve"> </w:t>
        <w:tab/>
        <w:br/>
        <w:tab/>
        <w:t xml:space="preserve">в ЧАСТИТЕ </w:t>
        <w:tab/>
        <w:br/>
        <w:tab/>
        <w:t xml:space="preserve"> </w:t>
        <w:tab/>
        <w:br/>
        <w:tab/>
        <w:t xml:space="preserve">относно определяне на типа затворническо заведение и първоначалния режим на изтърпяване на наказанието лишаване от свобода, от осъдената С. Й. С.. </w:t>
        <w:tab/>
        <w:br/>
        <w:tab/>
        <w:t xml:space="preserve"/>
        <w:tab/>
        <w:br/>
        <w:tab/>
        <w:t xml:space="preserve">В Р Ъ Щ</w:t>
        <w:tab/>
        <w:br/>
        <w:tab/>
        <w:t xml:space="preserve"> </w:t>
        <w:tab/>
        <w:br/>
        <w:tab/>
        <w:t xml:space="preserve"> А</w:t>
        <w:tab/>
        <w:br/>
        <w:tab/>
        <w:t xml:space="preserve"/>
        <w:tab/>
        <w:br/>
        <w:tab/>
        <w:t xml:space="preserve">делото на Софийски градски съд, за ново разглеждане в посочените части от друг състав, от стадия на съдебното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