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№63/06.02.2017 по гр. д. №2658/2016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63</w:t>
        <w:tab/>
        <w:br/>
        <w:tab/>
        <w:t xml:space="preserve"> </w:t>
        <w:tab/>
        <w:br/>
        <w:tab/>
        <w:t xml:space="preserve">София, 06.02. 2017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гражданско дело № 2658/2016 година по описа на Първо гражданско отделение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Подадена е касационна жалба от Сметната палата на Република България против въззивното решение на Софийския апелативен съд, гражданска колегия, първи състав, № 689 от 04.04.2016г. по гр. д.№ 4574/2014 г., с което са уважени предявените срещу нея осъдителни субективно съединени искове с правно основание чл. 31 ал.2 ЗС както следва: 1. Сметната палата е осъдена да заплати на Д. Й. М. сумата 78 208 лв., ведно със законната лихва от 14.09.2011г. 2. Сметната палата на Република България е осъдена да заплати на Е. Т. сумата 78 208 лв., ведно със законната лихва от 14.09.2011г. 3. Сметната палата на Република България на П. Б. и И. З. по 37 604 лв., ведно със законната лихва от 14.09.2011г.</w:t>
        <w:tab/>
        <w:br/>
        <w:tab/>
        <w:t xml:space="preserve"> </w:t>
        <w:tab/>
        <w:br/>
        <w:tab/>
        <w:t xml:space="preserve"> Касационната жалба е подадена в срок, отговаря на изискванията на чл. 284 ГПК и не е налице изключението на чл. 280 ал.1 ГПК, тъй като цената на всеки от субективно съединените искове е над 5000лв., поради което е процесуално допустима.</w:t>
        <w:tab/>
        <w:br/>
        <w:tab/>
        <w:t xml:space="preserve"> </w:t>
        <w:tab/>
        <w:br/>
        <w:tab/>
        <w:t xml:space="preserve"> Ответниците П. Б., И. З., Е. Т. и Д. Й. М. са подали отговор, в който изразяват становище, че част от въпросите поставени като основание за допускане на касационното обжалване са неотносими за делото, а по останалите въпроси решението не противоречи на представената от касатора съдебна практика, поради което не са налице предпоставките на чл.280 ал.1 ГПК. 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обсъди доводите на страните по основанията за допускане на касационното обжалване, и намира следното: </w:t>
        <w:tab/>
        <w:br/>
        <w:tab/>
        <w:t xml:space="preserve"> </w:t>
        <w:tab/>
        <w:br/>
        <w:tab/>
        <w:t xml:space="preserve"> 1. Правният въпрос дали съдът е длъжен да установи служебно нормите на чуждото право по отношение наследяването на едно лице, действителността на завещанието по форма, както и да задължи ищците да съдействат за това установяване, не е обуславящ за делото. Съдът е посочил изрично, че наследствените правоотношения на ищците по отношение на недвижимия имот, за ползването на който се търси обезщетение с иска по чл. 31 ал.2 ЗС, е приложим чл. 89 ал.2 КМЧП, според който наследяването на недвижимите имоти се урежда от правото на държавата, в която вещите се намират. А щом като правата на ищците произтичат от наследяване, за което е приложимо българското право, съдът не е имал задължение да установява правилата на чуждото право. По отношение на приложимото право, изводите на съда не са в противоречие с представената от касатора съдебна практика: решение № 1106/2008г. по гр. д.№ 4201/2007г. на ВКС, І г. о. не се отнася до наследствени правоотношения, в него е разгледан въпросът за придобиване на движими вещи от чужди граждани и поради това е прието, че е приложимо чуждото право; решение №927 по гр. д. № 2163/2008г. по описа на ВКС, ІІІ г. о. е по приложението на чл. 90 от КМЧП като са посочени отделните хипотези на приложимото право по отношение на завещанията, а в случая съдът е съобразил правата на ищците, произтичащи по закон. </w:t>
        <w:tab/>
        <w:br/>
        <w:tab/>
        <w:t xml:space="preserve"> </w:t>
        <w:tab/>
        <w:br/>
        <w:tab/>
        <w:t xml:space="preserve"> 2. Втората група въпроси: „следва ли ищците да установят кръга на наследниците на общия наследодател при условията на пълно и главно доказване с удостоверение за наследници и допустимо ли е съдът да приравни качеството на заветника с този на наследника по закон по силата на български закон – завещания, които опровергават това твърдение и доказват различен кръг на наследници; може ли от завещанието да се в направи извод за кръга на наследниците по закон“, не са обуславящи за делото. В мотивите на обжалваното решение липсват изводи в смисъла, в който са поставени въпросите. Апелативният съд е основал изводите си на представени по делото публични актове по смисъла на чл. 1 от Х. конвенция от 1961г., ратифицирана със закон, приет от 38-то НС на 25.05.2000 г. обн. ДВ, бр. 47 от 9.06.2000 г., носещи заверка „Апостил”, а именно – актове за смърт, завещания и данни от делата на починалите лица от съответния съд по наследствените въпроси, от които е установено по несъмнен начин кои са наследниците на бившия собственик Й. Т., от когото е одържавен имота и възстановен на основание ЗОСОИ. Тези официални свидетелстващи документи се ползват с материална доказателствена сила по чл. 179 ГПК, която съдът е бил длъжен да зачете. От данните в представените извлечения от наследствени дела във връзка с водените производства за установяване истинността на завещанията пред съответния съд по наследствените въпроси в САЩ е установено по несъмнен начин /а не само от текста на завещанията, както поддържа касатора/, че М. М., С. Т. и Л. Б. са деца на Й. М. и съпругата му Вида М.. Това е установено и от представеното удостоверение за наследници, издадено от Столична Община, район „О.” от 13.11.1998г. От доказателствата по делото е установено също така, че Е. Т. е единствен син на С. Т., че Д. Й. М. е син на М. М., а П. Б. и И. З. са низходящи наследници на Л. Б.. Съдът не е допуснал смесване на наследниците по закон и завещание, а е извел изводите си за наследниците по закон въз основа на данните, съдържащи се в представените официални свидетелстващи документи, заверени по надлежния ред. Изложените от съда мотиви, продиктувани от житейски съображения, не са решаващи, а са само допълнително съображение в подкрепа на изводите на съда. Наследниците на М. М., С. Т. и Л. Б. не са български граждани и няма основание да се изисква от ищците да установяват наследственото си качество с удостоверение за наследници, което е обичаен свидетелстващ документ по българското право. С оглед на изложеното и втората група въпроси, които поставя касаторът не са обуславящи за делото.</w:t>
        <w:tab/>
        <w:br/>
        <w:tab/>
        <w:t xml:space="preserve"> </w:t>
        <w:tab/>
        <w:br/>
        <w:tab/>
        <w:t xml:space="preserve"> Правните въпроси дали съдът е длъжен при формиране на вътрешното си убеждение да изложи мотиви, че определени правнорелевантни факти са се осъществили, а други не са се осъществили в обективната действителност и да посочи защо приема или отхвърля дадени доказателства и следва ли да обсъди всички възражения, направени в хода на производството също не обуславят приложното поле на чл. 280 ал.1 ГПК, защото липсват доводи за правното им значение за настоящото дело. В изложението не е посочено кои доказателства не са обсъдени и с какво те биха променили изводите на съда. Правният въпрос съгласно приетото в т.1 на ТР 1/2009г. на ВКС, ОСГК и ТК не трябва да е абстрактен, а трябва да е свързан с данните по делото, да обосновава необходимостта от тълкуване на конкретна правна норма с оглед спецификата на разглеждания спор и по този въпрос съдът да се е произнесъл, или да е бил длъжен да се произнесе. Въпросът за обсъждане на доказателствата и доводите на страните, така както е формулиран от касатора не отговаря на тези изисквания и не може да служи като общо основание за допускане на касационното обжалване по смисъла на чл. 280 ал.1 ГПК. Единственият конкретен довод, който се съдържа в изложението е този за необсъждане на приложението на чл. 90а ЗН, но този текст е неотносим за спора, след като съдът е определил правата на ищците по закон, а не по завещание.</w:t>
        <w:tab/>
        <w:br/>
        <w:tab/>
        <w:t xml:space="preserve"> </w:t>
        <w:tab/>
        <w:br/>
        <w:tab/>
        <w:t xml:space="preserve"> Доводите на касатора за нищожност на административните актове, признаващи права на ищците по ЗОСОИ и по отношение на материалноправните предпоставки на дължимостта на обезщетение са разгледани и съдът са е произнесъл по тях изрично на стр. 9 от мотивите, следователно въпросът дали съдът е длъжен да упражни косвен контрол върху административния акт за реституция не е от значение за делото.</w:t>
        <w:tab/>
        <w:br/>
        <w:tab/>
        <w:t xml:space="preserve"> </w:t>
        <w:tab/>
        <w:br/>
        <w:tab/>
        <w:t xml:space="preserve"> Правният въпрос дали се прекъсва придобивната давност от </w:t>
        <w:tab/>
        <w:br/>
        <w:tab/>
        <w:t xml:space="preserve"> </w:t>
        <w:tab/>
        <w:br/>
        <w:tab/>
        <w:t xml:space="preserve">владелеца на недвижим имот само с отправяне на нотариална покана с оглед разпоредбата на чл. 116 ЗЗД, без да е нарушено владението на процесния имот, както и да е предявен какъвто и да е иск, също не е обуславящ за делото, защото въззивният съд не е направил такива изводи. На стр. 10 от мотивите е прието, че е оборена презумцията на чл. 69 ЗС относно субективния елемент на владението. </w:t>
        <w:tab/>
        <w:br/>
        <w:tab/>
        <w:t xml:space="preserve"> </w:t>
        <w:tab/>
        <w:br/>
        <w:tab/>
        <w:t xml:space="preserve"> С оглед на изложеното, не са налице основанията на чл.280 ал.1 ГПК и касационната жалба не следва да се допуска за разглеждане по същество.</w:t>
        <w:tab/>
        <w:br/>
        <w:tab/>
        <w:t xml:space="preserve"> </w:t>
        <w:tab/>
        <w:br/>
        <w:tab/>
        <w:t xml:space="preserve"> Разноски на ответниците не следва да се присъждат, защото не са поискани.</w:t>
        <w:tab/>
        <w:br/>
        <w:tab/>
        <w:t xml:space="preserve"> </w:t>
        <w:tab/>
        <w:br/>
        <w:tab/>
        <w:t xml:space="preserve"> Воден от горното Върховният касационен съд,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Софийския апелативен съд, гражданска колегия, първи състав, № 689 от 04.04.2016г. по гр. д.№ 4574/2014 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