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№92/05.03.2014 по гр. д. №1885/2013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92</w:t>
        <w:tab/>
        <w:br/>
        <w:tab/>
        <w:t xml:space="preserve"> </w:t>
        <w:tab/>
        <w:br/>
        <w:tab/>
        <w:t xml:space="preserve"> С., 05.03.2014 г.</w:t>
        <w:tab/>
        <w:br/>
        <w:tab/>
        <w:t xml:space="preserve"> </w:t>
        <w:tab/>
        <w:br/>
        <w:tab/>
        <w:t xml:space="preserve"> ВЪРХОВНИЯТ КАСАЦИОНЕН СЪД, ГК, ІІІ г. о. в закрито заседание на двадесет и седми февруари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КАПКА ЮСТИНИЯНОВА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 при секретаря.......................... и в присъствието на прокурора....................като изслуша докладваното от съдията Б. гр. дело № 1885 по описа за 2013 год.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чл.248 от ГПК. </w:t>
        <w:tab/>
        <w:br/>
        <w:tab/>
        <w:t xml:space="preserve"> </w:t>
        <w:tab/>
        <w:br/>
        <w:tab/>
        <w:t xml:space="preserve"> Постъпила е молба от Агенция „Митници” [населено място] за изменение на решение № 223 от 3.12.2013 г. по гр. д. № 1885/2013 г., постановено по настоящото в частта за разноските. Искането е за присъждане на разноски за адвокатско възнаграждение, за разликата над 807 лв. до 930 лв., и заплатената държавна такса.</w:t>
        <w:tab/>
        <w:br/>
        <w:tab/>
        <w:t xml:space="preserve"> </w:t>
        <w:tab/>
        <w:br/>
        <w:tab/>
        <w:t xml:space="preserve"> Ответникът по молбата К. Д. Г. в отговора по чл. 248, ал.2 ГПК изразява становище, че не е налице основание за изменение на решението в частта за разноските, тъй като присъденото адвокатско възнаграждение е в по-голям размер от дължимото, както и че на работодателя при отхвърляне на иска на работника се дължи само това възнаграждение.</w:t>
        <w:tab/>
        <w:br/>
        <w:tab/>
        <w:t xml:space="preserve"> </w:t>
        <w:tab/>
        <w:br/>
        <w:tab/>
        <w:t xml:space="preserve"> Върховният касационен съд, състав на ІІІ г. о. намира, че молбата е подадена в срока по чл.248, ал1 ГПК и е допустима. Разгледана по същество тя е неоснователна.</w:t>
        <w:tab/>
        <w:br/>
        <w:tab/>
        <w:t xml:space="preserve"> </w:t>
        <w:tab/>
        <w:br/>
        <w:tab/>
        <w:t xml:space="preserve"> Спорът е трудов - с влязлото в сила решение на Върховния касационен съд са отхвърлени предявените от К. Д. Г. срещу молителя искове по чл.344, ал.1, т.1-3 КТ.</w:t>
        <w:tab/>
        <w:br/>
        <w:tab/>
        <w:t xml:space="preserve"> </w:t>
        <w:tab/>
        <w:br/>
        <w:tab/>
        <w:t xml:space="preserve"> Разноските са поискани своевременно в процеса и с решението е присъдено юрисконсултско възнаграждение в размер на 807 лв., изчислено по реда на чл.7, ал.1 от Наредба № 1/2004 г. за минималните размери на адвокатските възнаграждения. Съгласно разпоредбата на чл.359 ГПК работникът или служителят дължи на другата страна само разноските за адвокатско възнаграждение. В случая за трите инстанции съдът е присъдил юрисконсултстко възнаграждение в размер на 807 лв., съгласно посочения текст на Наредба № 1/2004 г. В този размер е дължимото възнаграждение, поради което не е налице основание за неговото изменение. Съгласно посочената специална норма /чл.359 КТ/ работникът или служителят не дължи други разноски, извън тези за адвокатско възнаграждение.</w:t>
        <w:tab/>
        <w:br/>
        <w:tab/>
        <w:t xml:space="preserve"> </w:t>
        <w:tab/>
        <w:br/>
        <w:tab/>
        <w:t xml:space="preserve"> По изложените съображения искането за изменение на решението в частта за разноските е неоснователно и следва да се отхвърли.</w:t>
        <w:tab/>
        <w:br/>
        <w:tab/>
        <w:t xml:space="preserve"> </w:t>
        <w:tab/>
        <w:br/>
        <w:tab/>
        <w:t xml:space="preserve"> Водим от горното Върховния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искането на Агенция „Митници”, [населено място] за изменение на решение № 223 от 3.12.2013 г. по гр. д. № 1885/2013 г. на ВКС, ІІІ г. о. в частта за разноските.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