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№91/05.03.2014 по гр. д. №21/2014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91</w:t>
        <w:tab/>
        <w:br/>
        <w:tab/>
        <w:t xml:space="preserve"> </w:t>
        <w:tab/>
        <w:br/>
        <w:tab/>
        <w:t xml:space="preserve">гр. София, 05.03.2014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двадесети февруари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дело № 21/2014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Комисията за отнемане на незаконно придобито имущество против решение № 232 от 16.08.2013 г. по гр. дело № 19/2013 г. на Великотърновски апелативен съд. </w:t>
        <w:tab/>
        <w:br/>
        <w:tab/>
        <w:t xml:space="preserve"> </w:t>
        <w:tab/>
        <w:br/>
        <w:tab/>
        <w:t xml:space="preserve">Върховният касационен съд, състав на гражданска колегия, трето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В приложението по чл. 284, ал. 3, т. 1 ГПК към касационната жалба е изложен между поставените въпроси и следният правен въпрос: „1. Каква трябва да е причинна връзка между придобитото имущество и престъпната дейност? ”. </w:t>
        <w:tab/>
        <w:br/>
        <w:tab/>
        <w:t xml:space="preserve"> </w:t>
        <w:tab/>
        <w:br/>
        <w:tab/>
        <w:t xml:space="preserve">Преценката относно допускането на касационното обжалване е обусловена от решението, което следва да бъде прието от ОСГК по тълкувателно дело № 7/2013 г. на ВКС, образувано по искане на Омбудсмана на Република България по следния въпрос: „необходимо ли е да съществува връзка между конкретната престъпна дейност по чл. 3, времето на нейното осъществяване и придобитото имущество, за да се постанови отнемане в полза на държавата на имущество, придобито от престъпна дейност по реда на Закона за отнемане в полза на държавата на имущество, придобито от престъпна дейност отм. ДВ, бр. 38/2012 г., в сила от 19.11.2012 г. /”. Поради това следва производството по делото да бъде спряно на основание чл. 292 ГПК до произнасяне на тълкувателното решение.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гр. дело № 21/2014 г. на Върховен касационен съд, гражданска колегия, трето отделение до приемане на тълкувателно решение от Общото събрание на гражданска колегия на Върховния касационен съд по тълкувателно дело № 7/2013 г.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