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№5012/25.05.2023 по гр. д. №2109/2021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50124</w:t>
        <w:tab/>
        <w:br/>
        <w:tab/>
        <w:t xml:space="preserve"/>
        <w:tab/>
        <w:br/>
        <w:tab/>
        <w:t xml:space="preserve"> гр. София, 25.05.2023 год.</w:t>
        <w:tab/>
        <w:br/>
        <w:tab/>
        <w:t xml:space="preserve"/>
        <w:tab/>
        <w:br/>
        <w:tab/>
        <w:t xml:space="preserve">Върховният касационен съд на Р. Б, IІІ гражданско отделение в закрито съдебно заседание на двадесет и втори май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№2109 по описа за 2021 год.</w:t>
        <w:tab/>
        <w:br/>
        <w:tab/>
        <w:t xml:space="preserve"/>
        <w:tab/>
        <w:br/>
        <w:tab/>
        <w:t xml:space="preserve"> Производството е образувано по касационна жалба, подадена от Комисията за противодействие на корупцията и отнемане на незаконно придобитото имущество /КПКОНПИ/, чрез процесуален представител ст. инспектор М. Л., против решение № 33 от 15.03.2021 г., постановено по в. гр. д. № 12/2021 г. по описа на Апелативен съд - В. Т, с което е потвърдено решение № 260152/ 30.11.2020 г. по гр. д. № 35/ 2018 г. по описа на Окръжен съд - Плевен, което са отхвърлени предявените от КПКОНПИ против Д. А. П. съпругата му Н. Й. И. искове по чл. 154, ал. 1 ЗПКОНПИ за отнемане на незаконно и придобитото от тях имущество – парични суми в общ размер на 116 337.40 лв., както следва: от Д. А. П. – сума в размер на 836.16 лв., представляваща левовата равностойност на получен превод от трето лице чрез системата „Western Union“ и сума в размер на 10 000 лв., представляваща заплатената от Д. А. П. на Е. Е. цена за л. а. “Мерцедес Е 220ЦДИ“ с белгийски рег. табели. .. и от Н. Й. И. – сума в размер общо на 2275 лв., представляваща вноски на каса от титулярa по разплащателна сметка в лева с IBAN. .. в „Ю. Б“ АД; сума в размер общо на 10 469 лв., представляваща вноски на каса от титулярa по спестовен влог в лева с IBAN. .. в „Ю. Б“ АД; сума в размер общо на 128.08 лв., представляваща изплатени лихви по спестовен влог в лева с IBAN. .. „Ю. Б“ АД; сума в размер на 10.20 евро с левова равностойност 19.95 лв., представляваща вноска на каса от титулярa по спестовна сметка в евро с IBAN. .. „Ю. Б“ АД; сума в размер общо на 56 344.89 лв., представляваща вноски на каса от титулярa по спестовен влог в лева с IBAN. .. в „Ю. Б“ АД; сума в размер общо на 33 158.75 лв., представляваща входящи преводи от трето лице по спестовен влог в лева с IBAN. .. в „Ю. Б“ АД; сума в размер общо на 74.04 лв., представляваща изплатени лихви по спестовен влог в лева с IBAN. .. „Ю. Б“АД и сума в размер на 1550 евро с левова равностойност 3031,54 лв., представляваща вноска на каса от титулярa по спестовна сметка в евро с IBAN. .. в „Ю. Б“ АД.</w:t>
        <w:tab/>
        <w:br/>
        <w:tab/>
        <w:t xml:space="preserve"/>
        <w:tab/>
        <w:br/>
        <w:tab/>
        <w:t xml:space="preserve"> Производството е спряно с определение №60314 от 12.11.2021г. на основание чл. 292 ГПК, до приключване на производството по тълк. дело № 4/2021 г. на ОСГК на ВКС. Спирането е постановено тъй като предмет на разглеждане по това тълкувателно дело е правните въпроси: 1. Представляват ли „имущество“ по смисъла на § 1, т. 4 от ДР на ЗПКОНПИ и участват ли при определяне размера на несъответствието, съобразно нормата на § 1, т. 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период?; 2. Следва ли ответникът да бъде осъден да заплати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имущество?, които са от значение за настоящото дело.</w:t>
        <w:tab/>
        <w:br/>
        <w:tab/>
        <w:t xml:space="preserve"/>
        <w:tab/>
        <w:br/>
        <w:tab/>
        <w:t xml:space="preserve"> Производството по тълкувателното дело е приключило с постановяване на тълкувателно решение №/ 4/2021 от 28.03.2023г. Следователно, пречките за движението на настоящото дело са отпаднали и касационното производство по него следва да се възобнови, съгласно чл. 230, ал. 1 ГПК.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ВЪЗОБНОВЯВА производството по гр. д.№ 2109/2021г. по описа на Върховния касационен съд, ІІІ г. о.</w:t>
        <w:tab/>
        <w:br/>
        <w:tab/>
        <w:t xml:space="preserve"/>
        <w:tab/>
        <w:br/>
        <w:tab/>
        <w:t xml:space="preserve"> НАСРОЧВА делото в закрито съдебно заседание по чл.288 ГПК на 01.06.2023г. – 10ч.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