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№5012/22.05.2023 по гр. д. №2309/2022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50120</w:t>
        <w:tab/>
        <w:br/>
        <w:tab/>
        <w:t xml:space="preserve"/>
        <w:tab/>
        <w:br/>
        <w:tab/>
        <w:t xml:space="preserve">гр. София, 22.05.2023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С, Трето гражданско отделение, в закрито съдебно заседание на деветнадесети май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2309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50011/25.01.2023 г. е спряно производството по делото, поради образуваното тълкувателно дело № 4/2021 г. на ОСГК на ВКС.</w:t>
        <w:tab/>
        <w:br/>
        <w:tab/>
        <w:t xml:space="preserve"/>
        <w:tab/>
        <w:br/>
        <w:tab/>
        <w:t xml:space="preserve">С приемането на Тълкувателно решение № 4/18.05.2023 г. по тълк. д. №4/2023 г. на ОСГК на ВКС са отпаднали пречките по движението на настоящото дело и производството следва да се възобнови.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2309/2022 г. по описа на ВКС, ІІІ г. о. и го насрочва в закрито с. з. за 07.06.2023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