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№9078/07.07.2009 по адм. д. №4359/2009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160, ал. 6 от Данъчно-осигурителен процесуален кодекс (ДОПК) във връзка с чл. 208 и сл. от Административно-процесуален кодекс (АПК).</w:t>
        <w:tab/>
        <w:br/>
        <w:tab/>
        <w:t xml:space="preserve">Образувано е по касационна жалба на „Л”ЕООД срещу Решение № 454/04.02.09г. по адм. д.527/08г. описа на Административен съд – В. Т., с което е отхвърлена жалбата му против Ревизионен акт (РА) №150800076/10.04.08г., издаден от орган по приходите при Териториална дирекция на Национална агенция за приходите – гр. П., потвърден с Решение № 229/20.06.08г. на Директор на Дирекция "О”ЕООД против РА №150800076/10.04.08г. на ТД на НАП – гр. П., потвърден с Решение № 229/20.06.08г. на Д”ОУИ”, с който му е начислен допълнителен размер ДДС по доставки в полза на „Ц”ЕООД, съдът е приел, че дружеството е следвало да начисли данък като е обосновал, че с РА е извършено законосъобразно начисляване поради липса на предпоставките на чл. 173 от ЗДДС за фактурите в полза на „Ц”ЕООД не е изследвано изцяло от решаващия съд. Правилно АС-В. Т. е приел за неоснователно твърдението, че участието на М. М., издателя на РА, в екипа, извършил данъчната ревизия представлява особено съществено процесуално нарушение. Съгласно действащите правила на ДОПК не е налице забрана със Заповедта за определяне на компетентен орган по чл. 119, ал. 2 от ДОПК да бъде определено лице, което е участвало при извършване на данъчната ревизия. При извършване на проверката относно действителността на РА съдът е бил длъжен да установи компетентността на лицето, издало заповедта за възлагане на данъчната ревизия като съобрази и евентуалното наличие на акт за прихващане или възстановяване. По делото има данни от данъчната преписка, че за ревизираните данъчни периоди „Л”ЕООД е подало искане за прихващане или възстановяване вх. н. 25419/26.10.07г., по което няма данни дали е издаден акт, които съгласно практиката на ВАС има правно значение относно определяне на компетентния орган за възлагане на данъчна ревизия. При липсата на доказателства за това обстоятелство обжалваното съдебно решение е постановено при неизяснена фактическа обстановка, поради което касационната инстанция няма възможност да провери правилното приложение на материалния закон.</w:t>
        <w:tab/>
        <w:br/>
        <w:tab/>
        <w:t xml:space="preserve">Допълнително следва да бъде посочено, че при формиране на правните изводи за липса на извършени вътреобщностни доставки съдът не е обсъдил всички събрани по делото доказателства в тяхната цялост, не е осъществена проверка относно редовността на счетоводните документи, представени в оригинал от данъчнозадълженото лице. Съдът не е формирал фактическо установяване относно съществуването на стоките, предмет на фактурите, действителното извършване на облагаеми доставки, осъществено ли е плащане по фактурите. Във фактурите е посочено, че плащането е в брой, но не е извършено съпоставяне с представените отчети фискална памет, както и обясненията на Л. Н. за начина на разплащане по доставките (стр. 330 от данъчната преписка). При обсъждане на доказателствата относно транспорта на стоките са обсъждани документи във връзка с фактури, издадени от „М”ЕООД и „БИ И О И. С. Т.”ООД, но не и декларация от Л. И. Н. ( стр. 482 от данъчната преписка) и наличието на възможност за извършване на собствен превоз. Тези факти са от правно значение за установяване наличието на облагаема доставка, за която се дължи начисляване на данък в размер на 20%, респективно осъществяването на вътреобщностна доставка с нулева ставка на данъка.</w:t>
        <w:tab/>
        <w:br/>
        <w:tab/>
        <w:t xml:space="preserve">По изложените съображения касационната инстанция намира, че са налице предпоставките на чл. 221 ал. 2 от АПК във връзка с чл. 222, ал. 2 от АПК. Решението на Административен съд – В. Т. следва да бъде отменено, а делото да бъде върнато за ново разглеждане от друг състав, който да установи всички относими към спора факти, включително и чрез назначаване на съдебно-счетоводна експертиза и ги съобрази с приложимите правни норми.</w:t>
        <w:tab/>
        <w:br/>
        <w:tab/>
        <w:t xml:space="preserve">С оглед изхода на спора разноски не следва да бъдат присъждани, а направените от страните по делото, трябва да бъдат взети предвид при постановяване на решението по същество.</w:t>
        <w:tab/>
        <w:br/>
        <w:tab/>
        <w:t xml:space="preserve">По изложените съображения Върховният административен съд, Първо – А отделение РЕШИ: ОТМЕНЯ</w:t>
        <w:tab/>
        <w:br/>
        <w:tab/>
        <w:t xml:space="preserve">Решение № 454/04.02.09г. по адм. д. 527/08г. описа на Административен съд – В. Т.. ВРЪЩА</w:t>
        <w:tab/>
        <w:br/>
        <w:tab/>
        <w:t xml:space="preserve">делото за ново разглеждане от друг съдебен състав на Административен съд – В. Т.. РЕШЕНИЕТО не подлежи на обжалване. Вярно с оригинала, ПРЕДСЕДАТЕЛ: /п/ Б. К. секретар: ЧЛЕНОВЕ: /п/ А. Д./п/ Д. Ч. Д.Ч.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