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№642/12.12.2015 по гр. д. №4111/2015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ГК, І г. о. дело № 4111/2015 год.</w:t>
        <w:tab/>
        <w:br/>
        <w:tab/>
        <w:t xml:space="preserve"/>
        <w:tab/>
        <w:br/>
        <w:tab/>
        <w:t xml:space="preserve">О П Р Е Д Е Л Е Н И Е№ 642</w:t>
        <w:tab/>
        <w:br/>
        <w:tab/>
        <w:t xml:space="preserve"> </w:t>
        <w:tab/>
        <w:br/>
        <w:tab/>
        <w:t xml:space="preserve">София, 12.12.2015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трети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4111/2015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във връзка с чл.280 от ГПК.</w:t>
        <w:tab/>
        <w:br/>
        <w:tab/>
        <w:t xml:space="preserve"> </w:t>
        <w:tab/>
        <w:br/>
        <w:tab/>
        <w:t xml:space="preserve"> Обжалвано е решението на Софийския градски съд, постановено на 19.03.2015 год. по в. гр. дело № 11246/2014 год. по описа на Гражданско отделение, ІІ-Б състав, с което е потвърдено решение от 25.06.2014 год. по гр. дело № 4836/2013 год. на Софийския районен съд, 68-ми състав за отхвърлянеиска с правна квалификация чл.40, ал.1 от ЗУЕС за отмяна решения от 07.11.2012 год., взети на общото събрание (ОС) на етажната собственост (ЕС) в сградата на [улица] [населено място].</w:t>
        <w:tab/>
        <w:br/>
        <w:tab/>
        <w:t xml:space="preserve"> </w:t>
        <w:tab/>
        <w:br/>
        <w:tab/>
        <w:t xml:space="preserve"> Недоволна от въззивното решение е жалбоподателката(ищца) М. Н. Г. ЕГН [ЕГН], представлявана от адвокат М. К. А., която го обжалва в срока по чл.283 от ГПК като счита, че е допустимо касационно обжалване на основание чл.280, ал.1, т.3 от ГПК по въпросите:</w:t>
        <w:tab/>
        <w:br/>
        <w:tab/>
        <w:t xml:space="preserve"> </w:t>
        <w:tab/>
        <w:br/>
        <w:tab/>
        <w:t xml:space="preserve"> 1. След като законодателят е предвидил специален ред за съставянето и оповестяването на протокола и в случай, че протоколът е съставен в нарушение на изискванията на материалния закон и не е обжалван пред управителя или управителния съвет по реда на чл.16, ал.9 от ЗУЕС, същият ползва ли се с доказателствена сила, подобна на официалните свидетелстващи документи?</w:t>
        <w:tab/>
        <w:br/>
        <w:tab/>
        <w:t xml:space="preserve"> </w:t>
        <w:tab/>
        <w:br/>
        <w:tab/>
        <w:t xml:space="preserve"> 2. След изтичането на този срок за обжалване по посочения по-горе ред, протоколът стабилизира ли се и има ли обвързваща етажните собственици, третите лица и съда доказателствена сила?</w:t>
        <w:tab/>
        <w:br/>
        <w:tab/>
        <w:t xml:space="preserve"> </w:t>
        <w:tab/>
        <w:br/>
        <w:tab/>
        <w:t xml:space="preserve"> 3. Може ли в производство по чл.40, ал.1 от ЗУЕС при оспорване законосъобразността на проведеното ОС и взетите на него решения, съдържанието им да се удостовери с протокола, който не отговаря на нормативните изисквания и следва ли съдът да приеме, че същият е стабилизиран поради необжалването му в краткия 7-дневен срок по чл.16, ал.9 от ЗУЕС пред управителя или пред УС на ЕС?</w:t>
        <w:tab/>
        <w:br/>
        <w:tab/>
        <w:t xml:space="preserve"> </w:t>
        <w:tab/>
        <w:br/>
        <w:tab/>
        <w:t xml:space="preserve"> Ответникът по касация ЕС”Светлина” с административен адрес [населено място], [улица], представлявана от управителя Н. С. не взема становище по допустимостта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първо отделение, като взе предвид доводите на страната по чл.280, ал.1 от ГПК и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приел, че собственикът може да обжалва решенията на ОС на ЕС с твърдения за тяхната незаконосъобразност, обоснована с нарушение на разпоредбите на ЗУЕС като в случая в исковата молба е поддържано, че решенията от 07.11.2012 год. са взети без наличие на кворум съобразно предвижданията на чл.15, ал.1 и ал.2 от ЗУЕС,о а от представения протокол е установено, че са представени 34.6% ид. ч. от общите части на ЕС, поради което е законно.</w:t>
        <w:tab/>
        <w:br/>
        <w:tab/>
        <w:t xml:space="preserve"> </w:t>
        <w:tab/>
        <w:br/>
        <w:tab/>
        <w:t xml:space="preserve"> За допускане касационно обжалване трябва да е налице някоя от трите специални предпоставки, уредени в чл.280, ал.1, т.1, т.2 и т.3 ГПК.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чл.280, ал.1, т.3 ГПК.</w:t>
        <w:tab/>
        <w:br/>
        <w:tab/>
        <w:t xml:space="preserve"> </w:t>
        <w:tab/>
        <w:br/>
        <w:tab/>
        <w:t xml:space="preserve"> Така както са формулирани въпросите в изложението по допустимост на касационното обжалване са неотносими към спора.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Софийския градски съд, постановено на 19.03.2015 год. по в. гр. дело № 11246/2014 год. по описа на Гражданско отделение, ІІ-Б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