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№530/01.08.2019 по ч. търг. д. №1191/2019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530</w:t>
        <w:tab/>
        <w:br/>
        <w:tab/>
        <w:t xml:space="preserve"> </w:t>
        <w:tab/>
        <w:br/>
        <w:tab/>
        <w:t xml:space="preserve">София, 01.08.2019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девети юли през две хиляди и деветнадесета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Г. И ч. т. д. 1191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Образувано е по частна касационна жалба на „Корпоративна търговска банка“ АД (н) - чрез синдиците А. Н. Д. и К. Х. М., срещу определение от 01.04.2019 г. по в. ч. гр. д. № 77/2019 г. на Окръжен съд – Монтана. С посоченото определение е потвърдено определение от 07.02.2019 г. на съдията по вписванията при Районен съд – Монтана, с което е отказано по подадена от банката молба с вх. № 345/07.02.2019 г. вторично вписване/отбелязване в имотния регистър на вписан в ТР особен залог върху търговско предприятие на „Е. П” АД, учреден в полза на КТБ АД (н.), в чиито активи са включени описани в молбата недвижими имоти. </w:t>
        <w:tab/>
        <w:br/>
        <w:tab/>
        <w:t xml:space="preserve"> </w:t>
        <w:tab/>
        <w:br/>
        <w:tab/>
        <w:t xml:space="preserve">В частната касационна жалба се поддържа, че обжалваното определение е неправилно. Оспорва се като незаконосъобразен изводът на въззивния съд, че не са налице предпоставките на чл.22а, ал.4, във вр. с чл.18 от ПВ за подновяване на вписването на договора за особен залог, тъй като молбата на „Корпоративна търговска банка“ АД (н) била в един, а не в два екземпляра, както и че в самата молба не се съдържали данни за първоначалното вписване. </w:t>
        <w:tab/>
        <w:br/>
        <w:tab/>
        <w:t xml:space="preserve"> </w:t>
        <w:tab/>
        <w:br/>
        <w:tab/>
        <w:t xml:space="preserve">За незаконосъобразен се счита и изводът на Окръжен съд - Монтана за необходимост от представяне на доказателства, че подновяването на особения залог е било поискано от синдиците в 6-месечния срок по § 5, ал.1 ПЗР на ЗИДЗБН /ДВ бр.22/13.03.2018 г./. Навеждат се оплаквания, че незаконосъобразно въззивният съд е приел, че заявителят следва да представи документи по чл. 264 ДОПК, доколкото декларацията по чл.264 ДОПК е необходима единствено в случаите на първоначално вписване или подновяване, но не и когато учреденото обезпечение е валидно в резултат на прогласена нищожност на заличаването му по силата на разпоредбата на § 5 от ПЗР на ЗИДЗБН. Излагат се и аргументи за липса на задължение за представяне на 2 екземпляра от молбата за „възстановяване” на особения залог, след като заявителят е спазил изискванията на чл.22а, ал.4, във вр. с чл.18 от ПВ и е представил два броя оригинали на удостоверения за актуално състояние на дружеството, учредило особения залог. По съображения в жалбата се прави искане за отмяна на обжалваното определение и за връщане на преписката на Служба по вписванията - [населено място] със задължителни указания за вписване на особения залог.</w:t>
        <w:tab/>
        <w:br/>
        <w:tab/>
        <w:t xml:space="preserve"> </w:t>
        <w:tab/>
        <w:br/>
        <w:tab/>
        <w:t xml:space="preserve">Върховният касационен съд, Търговска колегия, Второ отделение, след преценка на данните и доводите по делото, приема следното:</w:t>
        <w:tab/>
        <w:br/>
        <w:tab/>
        <w:t xml:space="preserve"> </w:t>
        <w:tab/>
        <w:br/>
        <w:tab/>
        <w:t xml:space="preserve">Частната касационна жалба е процесуално допустима - подадена е от надлежна страна в преклузивния срок по чл.275, ал.1 ГПК срещу определение на въззивен съд, което подлежи на касационно обжалване при предпоставките на чл.280, ал.1 и ал.2 ГПК. </w:t>
        <w:tab/>
        <w:br/>
        <w:tab/>
        <w:t xml:space="preserve"> </w:t>
        <w:tab/>
        <w:br/>
        <w:tab/>
        <w:t xml:space="preserve">В изложение по чл. 284, ал.3, т.1 ГПК приложното поле на касационното обжалване е обосновано с основанието по чл. 280, ал. 1, т. 1 от ГПК по първия посочен въпрос, а по втория счита, че са налице допълнителните предпоставки съгласно чл. 280, ал. 1, т. 3 от ГПК. Формулирани са следните въпроси, за които се твърди, че са обусловили правните изводи до които е достигнал въззивният съд и че същите са от значение за точното прилагане на закона и за развитието на правото: </w:t>
        <w:tab/>
        <w:br/>
        <w:tab/>
        <w:t xml:space="preserve"> </w:t>
        <w:tab/>
        <w:br/>
        <w:tab/>
        <w:t xml:space="preserve">1. „В случаите на поискано вписване в имотния регистър на обстоятелство, заличаването на което е прогласено за нищожно по силата на закона, приложим ли е общият ред на вписванията, респективно изискуеми ли са всички документи, относими към първоначалното вписване на обстоятелствата в имотния регистър по чл.22а от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чл.32а, ал.1 от ПВ, когато пред същия е образувано охранително производство по искане на несъстоятелна банка с правно основание § 5, ал.3 от ПЗР на ЗИДЗБН, обн. ДВ, бр. 22 от 13.03.2018 г., във вр. с чл.22а от ПВ? “</w:t>
        <w:tab/>
        <w:br/>
        <w:tab/>
        <w:t xml:space="preserve"> </w:t>
        <w:tab/>
        <w:br/>
        <w:tab/>
        <w:t xml:space="preserve">2. „Кога се счита, че е спазен предвиден в законова норма срок, в случаите когато фактическият състав завършва с вписване в Търговския регистър и Регистъра на юридическите лица с нестопанска цел – датата на подаване на заявлението или датата на която е извършено вписването на това заявление? “ </w:t>
        <w:tab/>
        <w:br/>
        <w:tab/>
        <w:t xml:space="preserve"> </w:t>
        <w:tab/>
        <w:br/>
        <w:tab/>
        <w:t xml:space="preserve">На настоящия състав на ВКС е служебно известно, че пред Съда на Европейския съюз в Люксембург е висящо дело С-647/18 г., образувано по преюдициално запитване, отправено от Видински окръжен съд на 17.10.2018 г., в което са включени и следните въпроси:</w:t>
        <w:tab/>
        <w:br/>
        <w:tab/>
        <w:t xml:space="preserve"> </w:t>
        <w:tab/>
        <w:br/>
        <w:tab/>
        <w:t xml:space="preserve">Дали защитената в чл. 2 от ДЕС ценност „правова държава“ следва да се тълкува в смисъл, че националният законодател е длъжен при приемането на законите в държава членка да се подчинява на правните принципи и критериите, които характеризират „правовата държава“, развити и посочени в практиката на Съда на Европейския съюз и в Съобщение на Европейската комисия до Европейския парламент и Съвета относно нова уредба на ЕС за укрепване на принципите на правовата държава от 11.03.2014 г., Страсбург?</w:t>
        <w:tab/>
        <w:br/>
        <w:tab/>
        <w:t xml:space="preserve"> </w:t>
        <w:tab/>
        <w:br/>
        <w:tab/>
        <w:t xml:space="preserve">2. Следва ли ценността „правова държава“, закрепена в чл. 2 ДЕС и принципите, на които същата се основава: законност, правна сигурност, независим и ефективен съдебен контрол със зачитане на основните права и равенство пред закона, да се тълкуват в смисъл, че не допускат приемане на националноправна разпоредба като § 5 от ПЗР на Закон за изменение и допълнение на ЗБН (ЗАКОН ЗЗД БАНКОВАТА НЕСЪСТОЯТЕЛНОСТ), която извънредно преурежда обществените отношения, свързани с вписването на обезпечения в публичните регистри в полза на конкретен частноправен субект? В конкретния случай националната норма с обратна сила прогласява, че вписаните в регистрите заличавания на обезпечения, учредени в полза на „КТБ“АД/н/, са нищожни и създава правна несигурност, като повелява, че смятаните за заличени обезпечения са противопоставими от „КТБ“АД/н/ на всяко трето лице по силата на закона, независимо от това, че задълженията, за които са учредени тези обезпечения, са погасени.</w:t>
        <w:tab/>
        <w:br/>
        <w:tab/>
        <w:t xml:space="preserve"> </w:t>
        <w:tab/>
        <w:br/>
        <w:tab/>
        <w:t xml:space="preserve">3. Съдът се нуждае от тълкуване, може ли директно да се позове и приложи чл. 2 от ДЕС, ако установи, че начинът, по който националната разпоредба на § 5 от ПЗР на Закон за изменение и допълнение на ЗБН (ЗАКОН ЗЗД БАНКОВАТА НЕСЪСТОЯТЕЛНОСТ) преурежда с обратна сила правните последици от вписванията на обезпечения в публичните регистри в полза на „КТБ“АД/н/, нарушава ценността „правова държава“ и горепосочените принципи, на които същата се основава?</w:t>
        <w:tab/>
        <w:br/>
        <w:tab/>
        <w:t xml:space="preserve"> </w:t>
        <w:tab/>
        <w:br/>
        <w:tab/>
        <w:t xml:space="preserve">4. Кои са критериите и условията, които националният съдия следва да приложи, когато извършва тълкуване дали ценността „правова държава“ по чл. 2 ДЕС допуска приемане на национална разпоредба като § 5 от ПЗР на Закон за изменение и допълнение на ЗБН (ЗАКОН ЗЗД БАНКОВАТА НЕСЪСТОЯТЕЛНОСТ)?</w:t>
        <w:tab/>
        <w:br/>
        <w:tab/>
        <w:t xml:space="preserve"> </w:t>
        <w:tab/>
        <w:br/>
        <w:tab/>
        <w:t xml:space="preserve">5. Чл. 67, параграф 1 ДФЕС, съгласно който съюзът представлява пространство на свобода, сигурност и правосъдие, в което се зачитат основните права и различните правни системи и традиции на държавите членки, следва ли да се тълкува в смисъл, че не допуска националноправни норми, които да създават несигурност в гражданския и търговски оборот, както и такива, които предрешават изхода по висящи правни спорове?</w:t>
        <w:tab/>
        <w:br/>
        <w:tab/>
        <w:t xml:space="preserve"> </w:t>
        <w:tab/>
        <w:br/>
        <w:tab/>
        <w:t xml:space="preserve">6. Съдът се нуждае от разяснение дали приложимите разпоредби на чл.7, параграф 2, буква „з“ и чл. 8 от Регламент (ЕС) № 2015/8481 на Европейския парламент и на Съвета от 20 май 2015 г. във връзка с чл. 2 от ДЕС относно производството по несъстоятелност могат да се тълкуват систематично във връзка с основните права по чл. 17, параграф 1, чл. 20 и чл. 47, параграф 2 от Хартата?</w:t>
        <w:tab/>
        <w:br/>
        <w:tab/>
        <w:t xml:space="preserve"> </w:t>
        <w:tab/>
        <w:br/>
        <w:tab/>
        <w:t xml:space="preserve"> 6.1. Ако се приеме, че посочените разпоредби на правото на ЕС следва да бъдат тълкувани във връзка с правата по Хартата, то допустимо ли е прилагането на правата в производство по несъстоятелност, образувано в държава – членка, и дали визираната в тях защита следва да бъде тълкувана в смисъл, че не допуска национална норма, която извънредно преурежда обществените отношения в полза на конкретно посочен от законодателя кредитор на несъстоятелността с обратна сила?</w:t>
        <w:tab/>
        <w:br/>
        <w:tab/>
        <w:t xml:space="preserve"> </w:t>
        <w:tab/>
        <w:br/>
        <w:tab/>
        <w:t xml:space="preserve">6.2. Разпоредбите на чл. 7, параграф 2, буква „з“ и чл. 8 от Регламент (ЕС) № 2015/848 на Европейския парламент и на Съвета от 20 май 2015 г. относно производството по несъстоятелност, тълкувани във връзка с правата по чл. 17, параграф 1, чл. 20 и чл. 47, параграф 2 от Хартата изключват ли прилагането на национална правна норма, с която ретроактивно се прогласяват вписаните в регистрите заличавания на обезпечения на „КТБ“АД/н/ за нищожни, а „възкръсналите“ в полза на „КТБ“АД/н/ обезпечения за ех lege противопоставими на всяко трето лице, така че да се засегнат правата на останалите кредитори и да се промени редът, по който се удовлетворяват в производството по несъстоятелност?</w:t>
        <w:tab/>
        <w:br/>
        <w:tab/>
        <w:t xml:space="preserve"> </w:t>
        <w:tab/>
        <w:br/>
        <w:tab/>
        <w:t xml:space="preserve">6.3. Разпоредбата на чл. 7, параграф 2, буква „з“ от Регламент (ЕС) № 2015/848 на Европейския парламент и на Съвета от 20 май 2015 г. относно производството по несъстоятелност може ли да се тълкува във връзка с правата по чл. 17, параграф 1, чл. 20 и чл. 47, параграф 2 от Хартата в смисъл, че не допуска в образувано производство по несъстоятелност да се приемат под условие вземания на конкретно визиран от законодателя кредитор („КТБ“ АД /н/), ако към момента на предявяването им, вземанията на този кредитор са погасени изцяло чрез прихващане и има висящи съдебни спорове за отмяна на прихващанията, които не са приключили? Ако условието, под което същият кредитор предявява вземанията си в несъстоятелността, е прихващанията, с които са погасени вземанията му, да бъдат обявени от националния съд за недействителни, то допуска ли правото на справедлив съдебен процес по чл. 47, параграф 2 от Хартата норма на националното законодателство, която с обратна сила променя предпоставките за валидно извършване на прихващанията, като по този начин предрешава изхода на висящите съдебни спорове за отмяна на прихващанията, респективно приемането на вземането в производството по несъстоятелност?</w:t>
        <w:tab/>
        <w:br/>
        <w:tab/>
        <w:t xml:space="preserve"> </w:t>
        <w:tab/>
        <w:br/>
        <w:tab/>
        <w:t xml:space="preserve">6.4. Съдът се нуждае от тълкуване може ли директно да се позове и приложи разпоредбите на чл. 7, параграф 2, буква „з“ и чл.8 от Регламент (ЕС) № 2015/848 на Европейския парламент и на Съвета във връзка с разпоредбите на чл. 17, параграф 1, чл. 20 и чл. 47, параграф 2 от Хартата, ако установи, че нормите на националното законодателство, които служат, като основание за приемане на вземането на „КТБ“АД/н/ под условие и/или обуславят сбъдването на условието, под което е предявено вземането, противоречат на норми от правото на ЕС.</w:t>
        <w:tab/>
        <w:br/>
        <w:tab/>
        <w:t xml:space="preserve"> </w:t>
        <w:tab/>
        <w:br/>
        <w:tab/>
        <w:t xml:space="preserve">7. Дали разпоредбата на чл. 77 от Директива 2014/59/ЕС2 следва да се тълкува в смисъл, че не допуска прилагането на национален закон, който с обратна сила променя предпоставките за извършване на прихващане на насрещни вземания и задължения с кредитна институция, която е в производство за възстановяване или преструктуриране, с което националният закон предрешава изхода на висящи съдебни спорове за отмяна на извършените прихващания с такава кредитна институция? </w:t>
        <w:tab/>
        <w:br/>
        <w:tab/>
        <w:t xml:space="preserve"> </w:t>
        <w:tab/>
        <w:br/>
        <w:tab/>
        <w:t xml:space="preserve">С оглед нормата на чл. 63 от ДФЕС следва да се приеме, че поставените въпроси са във връзка с основните свободи, защитени от Договорите. С оглед на така определената защита следва да се приеме, че свободното движение на стоки, част от което е и придобиването на недвижими имоти (макар и при специалния режим относно това), се свързва с доверието на всички трети лица в Имотния регистър. Доколкото вписването в Имотния регистър създава гласност за актовете за прехвърляне на права върху недвижими имоти, то следва, че е свързано със свободното движение на капитали като една от основните свободи. Ето защо и поставените въпроси относно неприложение на правна норма от вътрешното законодателство, която противоречи на основните принципи на правовата държава и принципите и свободи, предвидени в Хартата на основните права, са от значение за тълкуване на нормите от правото на Европейския съюз, свързани със свободното движение на стоки, с оглед поставените въпроси по делото и конкретно за приложение на § 5 от ПЗР на ЗИДЗБН. </w:t>
        <w:tab/>
        <w:br/>
        <w:tab/>
        <w:t xml:space="preserve"> </w:t>
        <w:tab/>
        <w:br/>
        <w:tab/>
        <w:t xml:space="preserve">При вече отправено преюдициално запитване на основание чл. 267 от ДФЕС, настоящият съдебен състав на основание чл. 631 от ГПК следва да спре производството по делото. В случай, че бъде постановено решение по отправеното преюдициално запитване от СЕС, то ще е задължително за всички правораздаващи органи в държавата. Въпросите относно приложението на § 5 от ПЗР на ЗИДЗБН са включени в предмета и на настоящето дело и в случай, че СЕС постанови решение, настоящият съдебен състав ще е длъжен да се съобрази със силата на тълкувано нещо, което то ще има. Това налага спиране на производството по настоящето дело до приключване на производството по преюдициалното запитване. 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СПИРА производството ч. т.д. 1191 по описа за 2019 г. на Върховния касационен съд, Търговска колегия, Второ отделение до произнасяне на Съда на Европейския съюз по дело С-647/18 г.</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