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№6016/12.07.2021 по гр. д. №2264/2020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чл.183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60161</w:t>
        <w:tab/>
        <w:br/>
        <w:tab/>
        <w:t xml:space="preserve"> </w:t>
        <w:tab/>
        <w:br/>
        <w:tab/>
        <w:t xml:space="preserve"> Гр. София, 12.07.2021 г.</w:t>
        <w:tab/>
        <w:br/>
        <w:tab/>
        <w:t xml:space="preserve"> </w:t>
        <w:tab/>
        <w:br/>
        <w:tab/>
        <w:t xml:space="preserve"> В ИМЕТО НА НАРОДА</w:t>
        <w:tab/>
        <w:br/>
        <w:tab/>
        <w:t xml:space="preserve"> </w:t>
        <w:tab/>
        <w:br/>
        <w:tab/>
        <w:t xml:space="preserve"> Върховният касационен съд на Р. Б, четвърто гр. отделение, в открито заседание на 7.06.2021 г. в състав:</w:t>
        <w:tab/>
        <w:br/>
        <w:tab/>
        <w:t xml:space="preserve"> </w:t>
        <w:tab/>
        <w:br/>
        <w:tab/>
        <w:t xml:space="preserve"> ПРЕДСЕДАТЕЛ: МАРИЯ ИВАНОВА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При участието на секретаря Д. Ц, </w:t>
        <w:tab/>
        <w:br/>
        <w:tab/>
        <w:t xml:space="preserve"> </w:t>
        <w:tab/>
        <w:br/>
        <w:tab/>
        <w:t xml:space="preserve">като разгледа докладваното от съдия Иванова гр. д. №2264/20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ВКС разглежда касационната жалба на „Енерго - про продажби” АД, [населено място] срещу въззивното решение на Варненски окръжен съд по гр. д. №447/20 г. Обжалването е допуснато на осн. чл.280, ал.1, т.1 ГПК поради противоречие на въззивното решение с практиката на ВКС / р. по гр. д. №4160/18 г. на трето г. о./ по правния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чл.183 ЗЗД?</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съществени нарушения на съдопроизводствените правила и нарушаване на материалния закон и се иска отмяната му.</w:t>
        <w:tab/>
        <w:br/>
        <w:tab/>
        <w:t xml:space="preserve"> </w:t>
        <w:tab/>
        <w:br/>
        <w:tab/>
        <w:t xml:space="preserve"> Ответникът по жалба Н. С. я оспорва като неоснователна по подробно изложени в писмен отговор съображения.</w:t>
        <w:tab/>
        <w:br/>
        <w:tab/>
        <w:t xml:space="preserve"> </w:t>
        <w:tab/>
        <w:br/>
        <w:tab/>
        <w:t xml:space="preserve"> ВКС на РБ, като разгледа жалбата, намира следното:</w:t>
        <w:tab/>
        <w:br/>
        <w:tab/>
        <w:t xml:space="preserve"> </w:t>
        <w:tab/>
        <w:br/>
        <w:tab/>
        <w:t xml:space="preserve"> По въпроса, по който е допуснато обжалването: В посочените от касатора решение № 150 по гр. д. № 4160/2018 г., III г. о., и решение № 21 по гр. д. № 50417/2016 г., I г. о. на ВКС се приема, че и преди измененията в чл. 83, ал. 1, т. 6 и чл. 98а, ал. 2, т. 6 от ЗЕ (ЗАКОН ЗЗД ЕНЕРГЕТИКАТА) (обн. ДВ, бр. 54/2012 г.) и приемането на Правила за измерване на количеството електрическа енергия от 2013 г./ПИКЕЕ/,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Източникът на задължението на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 160 от 31.12.2020 г. по гр. д. № 1174/2020 г., Решение № 216 от 13.01.2021 г. по гр. д. № 989/2020 г. ВКС, ІV ГО, Решение № 107 от 26.11.2020 г. по гр. д. № 1096/2020 г., ІІІ ГО, и др.). В тях се приема и това, че договорите за покупко-продажба на електрическа енергия се сключват по занятие от крайния снабдител по смисъла на §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приети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w:t>
        <w:tab/>
        <w:br/>
        <w:tab/>
        <w:t xml:space="preserve"> </w:t>
        <w:tab/>
        <w:br/>
        <w:tab/>
        <w:t xml:space="preserve"> Настоящият състав на ВКС споделя напълно тази практика на касационната инстанция.</w:t>
        <w:tab/>
        <w:br/>
        <w:tab/>
        <w:t xml:space="preserve"> </w:t>
        <w:tab/>
        <w:br/>
        <w:tab/>
        <w:t xml:space="preserve"> По същество на жалбата: Въззивният съд е уважил отрицателният установителен иск на Н. С. срещу касатора, като е приел за установена външна намеса в тарифната схема на електромера в собствения на ищеца обект на потребление на ел. енергия за битови нужди. Намесата е с цел неотчитане в пълен обем на количествата ел. енергия по двете тарифи, като препрограмирането осъществява прехвърляне на ел. енергия в скрития регистър, който не се визуализира при редовен отчет и реално отчетената там ел. енергия не се заплаща. Прието е, че след отмяната на чл.43, чл.44 и чл.47 от ПИКЕЕ отм. за оператора липсват действащи правила за реда за извършване на проверките на измервателните уреди с оглед установяване на случаите на неизмерена/неточно измерена енергия, както и за оформяне на констатациите от проверката като основание за последващо преизчисляване на доставената ел. енергия. След като по силата на чл.83 ал.1 т.6 ЗЕ установяването на тези случаи следва да е уредено в правила, приети от КЕВР, и такива в момента на извършената проверка липсват, неточното измерване в обекта на ищеца е установено по неправомерен начин, респективно извършеното преизчисление на количеството ел. енергия за минал период е незаконосъобразно, непротивопоставимо на потребителя и не може да породи валидно задължение за последния за плащане на исковата сума.</w:t>
        <w:tab/>
        <w:br/>
        <w:tab/>
        <w:t xml:space="preserve"> </w:t>
        <w:tab/>
        <w:br/>
        <w:tab/>
        <w:t xml:space="preserve"> Тези изводи на въззивния съд противоречат на цитираната по-горе практика на ВКС по тълкуване и прилагане на закона и са незаконосъобразни. Въззивният съд необосновано и незаконосъобразно е приел, че след като са отменени разпоредбите от ПИКЕЕ към момента на извършване на проверката - 18.09.2018 г., електроснабдителното дружество не може да преизчислява доставената ел. енергия и да извършва корекция в сметката на своите абонати. Делото е останало и неизяснено откъм фактическа страна, защото с оглед оплакванията във въззивната жалба и установеното неправомерно софтуерно вмешателство в паметта на СТИ, съдът и служебно е следвало да назначи разширена техническа експертиза – ТР №1/13 г. ОСГТК.</w:t>
        <w:tab/>
        <w:br/>
        <w:tab/>
        <w:t xml:space="preserve"> </w:t>
        <w:tab/>
        <w:br/>
        <w:tab/>
        <w:t xml:space="preserve"> В случая, от данните по делото е видно, че служители на ответното дружество са констатирали неправомерно софтуерно вмешателство в паметта на средството за техническо измерване, в резултат на което е установено несъответствие между реално доставената и заплатената електроенергия за обекта на ищеца в [населено място]. Поради това ответното дружество е коригирало сметката на абоната за периода 19.09.2017г. до 18.09.2018г.. За корекцията е издадена фактура от 26.08.19 г. за сумата 5 312,89 лв. От метрологичната експертиза на БИМ ГД „МИУ“- РО Русе се установява, че при софтуерно четене е установена външна намеса в тарифната схема на електромера и натрупана ел. енергия в невизуализираната част на дисплея/ на тарифа 3/, което според вещото лице – ел. инженер е всъщност „софтуерно препрограмиране на електромера“.</w:t>
        <w:tab/>
        <w:br/>
        <w:tab/>
        <w:t xml:space="preserve"> </w:t>
        <w:tab/>
        <w:br/>
        <w:tab/>
        <w:t xml:space="preserve"> За пълното изясняване на спора откъм фактическа страна следва да се назначи нова комплексна експертиза с участието и на софтуерен специалист, която да даде отговор на въпросите: Кога и как/ по какъв начин/ са възникнали показанията в регистър Т З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кога, по какъв начин и с каква цел е извършено констатираното неправомерно въздействие върху тарифната схема на процесното средство за търговско измерване; при съобразяване на техническите параметри и характеристики на монтираното през 2016 г. на обекта средство за търговско измерване, възможно ли през него да е преминало отчетеното в скрития регистър количество електроенергия за исковия период, за който допълнително е начислена сумата по издадената от ответника фактура.</w:t>
        <w:tab/>
        <w:br/>
        <w:tab/>
        <w:t xml:space="preserve"> </w:t>
        <w:tab/>
        <w:br/>
        <w:tab/>
        <w:t xml:space="preserve"> Незаконосъобразността на изводите на въззивния съд по съществото на спора и необходимостта от събиране на нови доказателства за пълното му изясняване налагат отмяна на въззивното решение като неправилно и връщането на делото на въззивния съд за ново разглеждане.</w:t>
        <w:tab/>
        <w:br/>
        <w:tab/>
        <w:t xml:space="preserve"> </w:t>
        <w:tab/>
        <w:br/>
        <w:tab/>
        <w:t xml:space="preserve"> Поради изложеното и на осн. чл.293, ал.2 и 3 ГПК, ВКС на РБ, четвърто г. о.</w:t>
        <w:tab/>
        <w:br/>
        <w:tab/>
        <w:t xml:space="preserve"> </w:t>
        <w:tab/>
        <w:br/>
        <w:tab/>
        <w:t xml:space="preserve"> РЕШИ:</w:t>
        <w:tab/>
        <w:br/>
        <w:tab/>
        <w:t xml:space="preserve"> </w:t>
        <w:tab/>
        <w:br/>
        <w:tab/>
        <w:t xml:space="preserve"> ОТМЕНЯ въззивното решение на Варненски окръжен съд по гр. д. №447//20 г. от 26.05.20 г.</w:t>
        <w:tab/>
        <w:br/>
        <w:tab/>
        <w:t xml:space="preserve"> </w:t>
        <w:tab/>
        <w:br/>
        <w:tab/>
        <w:t xml:space="preserve"> Връща делото на този съд за ново разглеждане от друг състав.</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