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№8213/06.07.2021 по адм. д. №4965/2021 на ВАС, VII о., докладвано от председателя Ваня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8213 София, 06.07.2021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петнадесети юни в състав: ПРЕДСЕДАТЕЛ:ВАНЯ АНЧЕВА ЧЛЕНОВЕ:ДАНИЕЛА МАВРОДИЕВА ХРИСТО КОЙЧЕВ при секретар Боряна Георгиева и с участието на прокурора Георги Христовизслуша докладваното от председателяВАНЯ АНЧЕВА по адм. дело № 4965/2021</w:t>
        <w:tab/>
        <w:br/>
        <w:tab/>
        <w:t xml:space="preserve">Производство по чл. 208 и сл. от Административнопроцесуалния кодекс (АПК), във връзка с чл. 73, ал. 4 от Закона за управление на средствата от Европейските структурни и инвестиционни фондове (ЗУСЕСИФ).</w:t>
        <w:tab/>
        <w:br/>
        <w:tab/>
        <w:t xml:space="preserve">Образувано е по касационна жалба на заместник-министъра на регионалното развитие и благоустройството и ръководител на Управляващия орган (УО) на Оперативна програма Региони в растеж (ОПРР) 2014-2020 г., подадена чрез процесуален представител адв. А. Гебова от Адвокатска колегия (АК) – Благоевград, срещу решение № 88/31.03.2021 г., постановено по адм. дело № 622/2020 г. по описа на Административен съд (АС) – Велико Търново, в частта, с която, по жалба на община Свищов, със седалище в гр. Свищов, ул. Цанко Церковски № 2, представлявана от кмета Генчо Генчев, съдът е изменил Решение № РД-02-36-1317 от 24.09.2020 г. на зам.-министъра на регионалното развитие и благоустройството и ръководител на УО (РУО) на ОПРР 2014 - 2020 г. за определяне на финансова корекция в размер на 25% от допустимите разходи, представляващи безвъзмездна финансова помощ (БФП), по договор за обществена поръчка № BGRFOP001-1.036-0005-C01-S-1/18.07.2019 г., сключен по обособена позиция (ОП) № 1 по проведената обществена поръчка, с изпълнител КОЕВ-СД ООД, на обща стойност 954 964, 65 лева без ДДС, в частта относно определения размер на финансовата корекция, и за такъв е определил 5% от допустимите средства, представляващи БФП, по засегнатия договор.</w:t>
        <w:tab/>
        <w:br/>
        <w:tab/>
        <w:t xml:space="preserve">По поддържаните оплаквания за неправилност на решението поради нарушение на материалния закон – касационно основание по чл. 209, т. 3, предложение първо АПК, се иска отмяната му и присъждане на разноски за касационното производство пред Върховния административен съд.</w:t>
        <w:tab/>
        <w:br/>
        <w:tab/>
        <w:t xml:space="preserve">Касаторът излага доводи, обосноваващи основна защитна теза за правомерно наложена финансова корекция от 25% върху допустимите разходи, представляващи БФП, по засегнатия от нарушението договор. Развива съображения, че в проведената възлагателна процедура, противно на възприетото от първостепенния съд, e допуснатo соченото в акта нарушение на чл. 2, ал. 1, т. 1, във връзка с чл. 107, т. 2, б. а от Закона за обществените поръчки (ЗОП), обуславящо извод за наличие на нередност по т. 14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фондове, приета с ПМС № 57 от 28.03.2017 г., обн., ДВ, бр. 27 от 31.03.2017 г., в сила от 31.03.2017 г. (Наредба за посочване на нередности/Наредбата). Счита за безспорно установено обстоятелството, че участникът, определен за изпълнител по ОП № 1, е представил оферта, към която не са приложени всички изискуеми съгласно Техническата спецификация по процесната обществена поръчка, декларации за съответствие и експлоатационни характеристики. Твърди, че видно от правилата, заложени в Техническата спецификация, такива декларации се изискват за всички аксесоари, описани в б. А (стр. 13 - 14 от Техническата спецификация), а същевременно от участника са представени единствено за аксесоарите профил за ъгли с мрежа, профил водооткапващи, за издадени навън фасадни елементи и цокълен профил с водооткапващ елемент. Липсата на необходимите документи, издадени по реда на Регламент (ЕС) № 305/2011 на Европейския парламент и на Съвета от 9 март 2011 година за определяне на хармонизирани условия за предлагането на пазара на строителни продукти и за отмяна на Директива 89/106/ЕИО на Съвета (Регламент № 305/2011), относно останалите два аксесоара, а именно – профил за врати и прозорци и профил за конструктивни фуги, се потвърждава и от изготвената по делото съдебно-техническа експертиза (СТЕ). Доколкото тази липса води до непълнота на техническото предложение, а последната представлява самостоятелно основание за отстраняване на участника, счита за неправилен крайния извод на съда за съответствие на подадената оферта с изискванията на възложителя. Мотивира становище, че съдът в противоречие с приложимия материален закон е приел, че доколкото аксесоарите са компонент на интегрираната топлоизолационна система и за тях не са предвидени минимални изисквания, представянето на декларации за съответствието им и експлоатационните характеристики е безпредметно. Според касационния жалбоподател, с избора на неотговарящо на предварително обявените условия лице за изпълнител по процесната поръчка, е извършено нарушение на чл. 107, т. 2, б. а ЗОП и по този начин необосновано е ограничена конкуренцията и са създадени предпоставки за по-благоприятното му третиране спрямо останалите икономически оператори, което е в пряко противоречие с разпоредбата на чл. 2, ал. 1, т. 1 ЗОП. Счита дадената правна квалификация на нередността по т. 14 от Приложение № 1 към Наредбата за правилна. По изложените съображения претендира отмяна на обжалваното съдебно решение в частта, в която е сезиран Върховният административен съд, и решаване на спора по същество с отхвърляне на първоинстанционната жалба в тази част.</w:t>
        <w:tab/>
        <w:br/>
        <w:tab/>
        <w:t xml:space="preserve">Ответникът – община Свищов, представлявана от кмета Генчо Генчев, чрез процесуалния му представител адв. М. Янков, в писмен отговор оспорва подадената касационна жалба. С отричащи основателността й доводи, моли обжалваният съдебен акт да се остави в сила. Претендира разноски за адвокатско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в срок и от надлежно легитимирана страна. Разгледана по същество на посочените в нея основания и в обхвата на служебната проверка по чл. 218, ал. 2 АПК, съдът приема същата за основателна, по следните съображения:</w:t>
        <w:tab/>
        <w:br/>
        <w:tab/>
        <w:t xml:space="preserve">С атакувания съдебен акт, в обжалваната му част, по жалба на община Свищов е изменено Решение № РД-02-36-1317 от 24.09.2020 г. на зам.-министъра на регионалното развитие и благоустройството и РУО на ОПРР 2014 - 2020 г. за определяне на финансова корекция в размер на 286 489, 40 лева с ДДС, съставляващи 25% от допустимите разходи, по засегнатия от нарушението договор за обществена поръчка № BGRFOP001-1.036-0005-C01-S-1/18.07.2019 г.,, сключен по ОП № 1 по проведената обществена поръчка, с изпълнител КОЕВ-СД ООД, на обща стойност 954 964, 65 лева без ДДС, в частта относно определения процентен показател за изчисляване на финансовата корекция, като е определен такъв в размер на 5% от допустимите средства, представляващи БФП, по засегнатия договор.</w:t>
        <w:tab/>
        <w:br/>
        <w:tab/>
        <w:t xml:space="preserve">За да постанови този правен резултат, съдът е приел от фактическа страна, че община Свищов е бенефициер по сключен на 18.07.2019 г. с Министерството на регионалното развитие и благоустройството (МРРБ) в качеството му на УО на ОПРР 2014 - 2020 г. административен договор за предоставяне на безвъзмездна финансова помощ (АДПБФП), с рег. № от ИСУН BG16RFOP001-1.036-0005-C01, по процедура на директно предоставяне BG16RFOP001-1.36 ИЗПЪЛНЕНИЕ НА ИНТЕГРИРАНИ ПЛАНОВЕ ЗЗД ГРАДСКО ВЪЗСТАНОВЯВАНЕ И РАЗВИТИЕ 2014 - 2020 – СВИЩОВ, част от процедура BG16RFOP001-1.001-039 ИЗПЪЛНЕНИЕ НА ИНТЕГРИРАНИ ПЛАНОВЕ ЗЗД ГРАДСКО ВЪЗСТАНОВЯВАНЕ И РАЗВИТИЕ 2014-2020, № РД-02-37-112. Видно от чл. 2.1. от договора, предоставяната БФП е в максимален размер до 2 351 719, 64 лева, като проектното предложение с № BG16RFOP001-1.036-0005 Ремонт, реконструкция и мерки за подобряване на енергийната ефективност в обекти на културната инфраструктура на територията на община Свищов е на стойност 2 766 728, 99 лева, при 415 009, 35 лева собствен принос на бенефициера.</w:t>
        <w:tab/>
        <w:br/>
        <w:tab/>
        <w:t xml:space="preserve">За разходване на средствата по така сключения административен договор, бенефициерът е провел открита процедура за възлагане на обществена поръчка с предмет: Извършване на СМР със следните обособени позиции: ОП № 1: Ремонт, обновяване, оборудване и прилагане на мерки за енергийна ефективност на Читалище Трудолюбие – Дунав, с. Вардим, ОП № 2: Ремонт, обновяване, оборудване и прилагане на мерки за енергийна ефективност на Читалище Филип Станиславов, с. Ореш, ОП № 3: Ремонт, обновяване, оборудване и прилагане на мерки за енергийна ефективност на Народно читалище Светлина – Царевец 1927, с. Царевец, с три особени позиции.</w:t>
        <w:tab/>
        <w:br/>
        <w:tab/>
        <w:t xml:space="preserve">В резултат на проведената процедура с избрания за изпълнител по ОП № 1 участник – КОЕВ-СД ООД, е сключен договор за обществена поръчка № BGRFOP001-1.036-0005-C01-S-1/18.07.2019 г., на стойност 954 964, 65 лева без ДДС.</w:t>
        <w:tab/>
        <w:br/>
        <w:tab/>
        <w:t xml:space="preserve">Обществената поръчка е била предмет на последващ административен контрол, при който е установено, че в хода на възлагателната процедура е извършен незаконосъобразен избор на изпълнител, т. к. избраният по ОП № 1 участник не е отговарял на предварително поставените в утвърдената Техническа спецификация условия. Установено е, че въпреки наличието на основание за отстраняване, поради непълнота на подаденото техническо предложение, с участника, в противоречие с чл. 107, т. 2, б. а, във връзка с чл. 2, ал. 1, т. 1 ЗОП, е сключен договор за възлагане на обществената поръчка. Органът е приел това нарушение за достатъчно основание за определяне на финансова корекция, като го е подвел в хипотезата на чл. 70, ал. 1, т. 9 ЗУСЕСИФ и под състава на нередност по т. 14 от Приложение № 1 към чл. 2, ал. 1 Наредбата. За тези констатации бенефициерът е уведомен с писмо с изх. 66-00-6-691 (1)/01.09.2020 г. на РУО на ОПРР 2014 - 2020, като му е предоставен двуседмичен срок за депозиране на становище във връзка с наведените твърдения.</w:t>
        <w:tab/>
        <w:br/>
        <w:tab/>
        <w:t xml:space="preserve">След проведената процедура по чл. 73, ал. 2 ЗУСЕСИФ, в рамките на която бенефициерът е подал своето възражение, ръководителят на УО на ОПРР 2014 - 2020 г. е издал оспорения административен акт, с който е индивидуализирал нарушените разпоредби, както следва: чл. 2, ал. 1, т. 1, вр. чл. 107, т. 2, б. а ЗОП, и е квалифицирал нарушението като нередност по т. 14 от Приложение № 1 към чл. 2, ал. 1 Наредбата за посочване на нередности, обосноваваща определянето на финансова корекция в размер на 25 % от допустимите разходи по засегнатия от нарушението договор.</w:t>
        <w:tab/>
        <w:br/>
        <w:tab/>
        <w:t xml:space="preserve">За изясняване на спорни по делото въпроси е допуснато изготвянето на съдебно-техническа експертиза. Вещото лице е установило, че към подаденото от участника КОЕВ-СД ООД техническо предложение относно посочената интегрирана топлоизолационна система с производител Баумит се съдържат общо 10 броя декларации за съответствие и експлоатационни характеристики на съответните материали и продукти, които са част от системата. Експертът е констатирал, че последните не се отнасят за всички аксесоари, посочени в б. А от Техническата спецификация, като липсват декларации съответно за профил за врати и прозорци – с двойно лепяща предпазна лента, която се отстранява след полагане на мазилката и приключване на СМР и за профил за конструктивни фуги. Посочил е, че аксесоарите са компонент на интегрираната топлоизолационна система, за която е приложена Декларация за експлоатационните показатели на БАУМИТ Система Про № 01-ВАВ-ЕТА-16/0911 от 01.09.2017 г., но за тях от документацията не се установяват минимални изисквания. Според експертното заключение предложената топлоизолационна система отговаря на изискванията на възложителя.</w:t>
        <w:tab/>
        <w:br/>
        <w:tab/>
        <w:t xml:space="preserve">Въз основа на така установената фактическа обстановка и след анализ на относимата правна уредба на общностно и национално ниво съдът е приел, че оспореният пред него индивидуален административен акт е издаден от компетентен орган, при спазване на процедурата по чл. 73 ЗУСЕСИФ, в предвидената от закона писмена форма и с посочване на фактическите и правните основания за постановяването му. При преценката за съответствието на наложената финансова корекция с материалния закон, съдът е съобразил регламентацията на описаните нормативни разпоредби, като я е анализирал във връзка с твърденията за нередност по т. 14 от Приложение № 1 към Наредбата. Приел е за неправилен изводът на РУО, че участникът незаконосъобразно е избран за изпълнител, при наличие на основание за отстраняването му. Счел е, че доколкото по отношение на визираните в акта аксесоари на топлоизолационната система възложителят не е предвидил каквито и да било минимални изисквания и технически характеристики, представянето на процесните декларации за експлоатационни показатели се явява безпредметно, т. к. съдържащото се в тях описание не може да бъде обективно сравнено с предварително заложени показатели. Според съда, обстоятелството, че все пак са представени декларации за три от общо пет аксесоара, не води до обратното заключение. При липса на минимални изисквания, заложени в документацията, съдебният състав е приел, че не е възможно обосноваването на наличие на основание за отстраняване по смисъла на чл. 107, т. 2, б. а ЗОП, а приемайки обратното, РУО на ОПРР 2014 - 2020 г. е постановил незаконосъобразен административен акт.</w:t>
        <w:tab/>
        <w:br/>
        <w:tab/>
        <w:t xml:space="preserve">По тези съображения първоинстанционният съд е стигнал до извод за наличие на основание за изменение на постановения индивидуален административен акт в частта относно определената финансова корекция, като предвид другата констатирана нередност, чието осъществяване е приел за доказано и която обосновава определянето на корекция в размер на 5%, е намалил размера й от 25% на 5% от допустимите разходи, представляващи БФП, по засегнатия от нарушението договор.</w:t>
        <w:tab/>
        <w:br/>
        <w:tab/>
        <w:t xml:space="preserve">Решението е неправилно, поради допуснато при постановявянето му нарушение на материалния закон.</w:t>
        <w:tab/>
        <w:br/>
        <w:tab/>
        <w:t xml:space="preserve">Страните не спорят по фактите, както и в частта относно компетентността на органа, издал обжалвания административен акт, спазването на формата и процедурата по издаването му, поради което в тази част мотивите на касационната инстанция препращат към първоинстанционното решение и по аргумент от нормата на чл. 221, ал. 2, изр. второ АПК не следва да бъдат повторно възпроизвеждани.</w:t>
        <w:tab/>
        <w:br/>
        <w:tab/>
        <w:t xml:space="preserve">Предвид застъпените пред касационната инстанция защитни тези, спорният въпрос е по приложението на материалния закон от първостепенния съд и се свежда до преценка относно точното съдържание на изискванията спрямо техническите предложения на участниците в процесната обществена поръчка и степента на съответствие с тях на офертата, предложена от избрания за изпълнител участник КОЕВ-СД ООД. В контекста на становищата пред първоинстанционния съд, спорна е и годността на Декларация за експлоатационните показатели на БАУМИТ Система Про № 01-ВАВ-ЕТА-16/0911, за външна топлоизолационна система с мазилков слой за топлоизолиране на сгради, с издаден документ: ЕТА-16/0911 на основание ETAG 004:2013, да послужи като декларация за експлоатационни показатели на следните два аксесоара на топлоизолационната система, а именно: профил за врати и прозорци и профил за конструктивни фуги.</w:t>
        <w:tab/>
        <w:br/>
        <w:tab/>
        <w:t xml:space="preserve">Техническото предложение е част от офертата, чрез която участниците заявяват желанието си за участие в процедурата по възлагане на етап подаване на оферти - Арг.: чл. 39, ал. 3 от Правилника за прилагане на Закона за обществените поръчки, приет с ПМС № 73 от 5.04.2016 г., обн., ДВ, бр. 28 от 8.04.2016 г., в сила от 15.04.2016 г. (ППЗОП). Видно от предписанието на чл. 39, ал. 3, т. 1 с. з., Техническото предложение трябва да съдържа предложение за изпълнение на поръчката в съответствие с техническите спецификации и изискванията на възложителя. В противен случай помощният орган, отговарящ за допускането, разглеждането и оценката на подадените предложения, по аргумент от чл. 57, ал. 1 ППЗОП, няма да пристъпи към отваряне на ценовите предложения, респ. ще изключи съответния участник, представил несъответстващото техническо предложение от по-нататъшната процедура по оценяване и класиране. Аналогично правило се съдържа и в разпоредбата на чл. 107, т. 2, б. а ЗОП (доп. – ДВ, бр. 86 от 2018 г., в сила от 1.03.2019 г.), преповторена и в текста на т. 11. 5. Техническо предложение – по образец № 2, подточка 4 от Указанията за участие към документацията за възлагане на процесната обществена поръчка, според чието предписание възложителят отстранява участник, който е представил оферта, която не отговаря на предварително обявените условия за изпълнение на поръчката. Следователно всяко обективно несъответствие на техническото предложение с изискванията на възложителя, предвид описаните правила, представлява самостоятелно основание за отстраняване на съответния участник от по-нататъшно участие в процедурата по възлагане.</w:t>
        <w:tab/>
        <w:br/>
        <w:tab/>
        <w:t xml:space="preserve">За да се формира извод относно съответствието на техническото предложение, подадено от процесния участник, с предварително обявените изисквания на възложителя обаче е необходимо, на първо място, да се изясни точното съдържание на поставените от възложителя условия, в контекста на възникналия правен спор.</w:t>
        <w:tab/>
        <w:br/>
        <w:tab/>
        <w:t xml:space="preserve">По делото е безспорно, че в Раздел IV ОБЩИ ИЗИСКВАНИЯ КЪМ МАТЕРИАЛИТЕ, ВЛОЖЕНИ В ТЕХНИЧЕСКОТО ПРЕДЛОЖЕНИЕ НА УЧАСТНИКА И ПРЕДВИДЕНИ ЗЗД ВЛАГАНЕ В ОБЕКТА изрично е предвидено задължение за изпълнителя, при изпълнение на дейностите по СМР да влага строителни материали, които отговарят на изискванията в Наредба за съществените изисквания към строежите и оценяване съответствието на строителните продукти, приета с ПМС № 325 от 6.12.2006 г., обн., ДВ, бр. 106 от 27.12.2006 г., в сила от датата на влизане в сила на Договора за присъединяване на Република България към Европейския съюз - 1.01.2007 г. (отм.), като всеки материал следва да бъде придружен от декларация за експлоатационни показатели, издадена по реда на Регламент № 305/2011 г. Указано е, че при липса на хармонизирани стандарти за продуктите, същите следва да са придружени със съответните документи, издадени в съответствие с Наредба № РД-02-20-1 от 5.02.2015 г. за условията и реда за влагане на строителни продукти в строежите на Република България, издадена от министъра на регионалното развитие и благоустройството, обн., ДВ, бр. 14 от 20.02.2015 г., в сила от 1.03.2015 г. (Наредба № РД-02-20-1). В допълнение към това правило, в заключителната част на техническата спецификация, на стр. 19 от същата, т. 2., е регламентирано, че към Техническото предложение на участниците се изисква последните да приложат документи, доказващи техническите характеристики на строителните продукти или комплекти, посочени в раздел IV (неправилно посочен като раздел VI, предвид сравнителния анализ между двата раздела и словесната формулировка на заглавията им). Описано е, че под приложен документ следва да се разбират декларации за експлоатационни показатели, издадени по реда на Регламент № 305/2011 или Наредба № РД-02-20-1.</w:t>
        <w:tab/>
        <w:br/>
        <w:tab/>
        <w:t xml:space="preserve">Изложеното налага извод, че за да отговаря на поставените от възложителя изисквания, подаденото техническо предложение следва да бъде придружено от описаните декларации, съставени по съответния ред и съдържащи необходимата информация относно експлоатационните показатели на влаганите за изпълнение на СМР материали.</w:t>
        <w:tab/>
        <w:br/>
        <w:tab/>
        <w:t xml:space="preserve">Оспореният пред АС - Велико Търново административен акт е фактически обоснован с констатацията, че участникът КОЕВ-СД ООД, в противоречие с техническата спецификация, не е представил декларации за експлоатационни показатели за всички пет вида аксесоари на топлоизолационната система, а именно: 1. профил за ъгли с мрежа; 2. профил водооткапващи, за издадени навън фасадни елементи; 3. профил за врати и прозорци – с двойно лепяща предпазна лента, която се отстранява след полагане на мазилката и приключване на СМР; 4. цокълен профил с водооткапващ елемент и 5. профил за конструктивни фуги“. Твърди се от в акта, а и страните не спорят, че участникът е приложил към офертата си декларации относно профилите по т. 1 – 3. Спорно е дали са представени документи, установяващи експлоатационните показатели на аксесоарите, описани под № 4 и № 5 (цокълен профил с водооткапващ елемент и профил за конструктивни фуги), както и дали в Декларацията за цялата БАУМИТ система се съдържат подобни данни.</w:t>
        <w:tab/>
        <w:br/>
        <w:tab/>
        <w:t xml:space="preserve">Настоящият състав на Върховния административен съд намира за необходимо да посочи, че съдът неправилно се е занимал с изследване на обстоятелството дали са налице минимални изисквания, свързани с конкретните технически характеристики на посочените аксесоари. В случая изискването е единствено да се декларират свойствата на визираните профили, като същото се счита изпълнено с прилагането на съответните декларации. При липса на минимални изисквания относно техните параметри, комисията в качеството си на помощен орган логично няма да изследва съответствието с посочените предварително характеристики, а само ще констатира наличието или липсата на документ, от който да може да установят конкретните такива. Това съвсем не означава, че непредставянето на изискуемите декларации е ирелевантно за преценката за съответствие с изискванията на възложителя. Точно обратното – въведено като изрично изискване, същото под страх от отстраняване, по арг. от чл. 107, т. 2, б. а ЗОП и т. 11. 5. Техническо предложение – по образец № 2, подточка 4 от Указанията за участие, следва да бъде задължително съобразено.</w:t>
        <w:tab/>
        <w:br/>
        <w:tab/>
        <w:t xml:space="preserve">По делото не са представени доказателства, опровергаващи извода на РУО на ОПРР 2014 - 2020 г., че процесните декларации не са представени от участника. Противно на възприетото от първостепенния съд, от заключението на назначеното по делото вещо лице не следва обратното. Съвсем недвусмислено експертът е посочил в отговора си на зададения въпрос № 2, че по преписката липсват декларации за профил за врати и прозорци, както и за профил за конструктивни фуги.</w:t>
        <w:tab/>
        <w:br/>
        <w:tab/>
        <w:t xml:space="preserve">Наред с горното и с оглед заключението на вещото лице, в частта относно въпрос № 3 от СТЕ, е вярно, че аксесоарите са част от топлоизолационната система. Това е видно и от раздел А от Техническата спецификация, който изрично ги причислява към компонентите на топлоизолационната система (или комплекта). Безспорно е и, че е допустимо показателите на различни видове компоненти да са посочени в един и същ документ. В такъв случай обаче е необходимо от съдържанието му да може да бъде изведен еднозначен извод, че посочените данни касаят именно визираните компоненти.</w:t>
        <w:tab/>
        <w:br/>
        <w:tab/>
        <w:t xml:space="preserve">В случая, от приложената Декларация за експлоатационните показатели на БАУМИТ Система Про № 01-ВАВ-ЕТА-16/0911, за външна топлоизолационна система с мазилков слой за топлоизолиране на сгради, с издаден документ: ЕТА-16/0911 на основание ETAG 004:2013, не може да бъде изведен такъв извод. Тя не съдържа индивидуализация на системата по компоненти, от която да са видни експлоатационните показатели на двата аксесоара – цокълен профил с водооткапващ елемент и профил за конструктивни фуги, а дефинира тези на системата като цяло. Несподелимо е становището на ответника по касационната жалба в обратния смисъл. Щом като възложителят е предвидил задължение за представяне на декларации, от които да са видни експлоатационните показатели на отделните компонентни, а не на системата като цяло, е очевидно, че представянето на една обща декларация, описваща показателите на цялата система е недостатъчно за покриване на заложените изисквания. Още повече, когато в нея липсва конкретика, която да насочва безспорно към процесните аксесоари.</w:t>
        <w:tab/>
        <w:br/>
        <w:tab/>
        <w:t xml:space="preserve">Изложеното налага извод за правилност на констатацията на РУО на ОПРР 2014 - 2020 г., че участникът, избран за изпълнител по ОП № 1, не е отговарял на предварително заложените изисквания на възложителя, и вместо да бъде отстранен от участие, поради наличие на основание за това, именно с него е сключен договорът за обществена поръчка. Това обстоятелство, освен, че е довело до нарушение на изричната разпоредба на чл. 107, т. 2, б. а ЗОП, е нарушило и принципите на равнопоставеност и недопускане на дискриминация, прогласени в чл. 2, ал. 1, т. 1 ЗОП, доколкото незаконосъобразният избор на изпълнител имплицитно е поставил в по-благоприятно положение един участник спрямо останалите такива, без наличие на обективно основание за това.</w:t>
        <w:tab/>
        <w:br/>
        <w:tab/>
        <w:t xml:space="preserve">По тези съображения първоинстанционният съд е обосновал неправилен правен извод за липса на осъществено нарушение на чл. 2, ал. 1, т. 1, във връзка с чл. 107, т. 2, б. а ЗОП. Последното правилно е квалифицирано като нередност по т. 14 от Приложение № 1 към Наредбата за посочване на нередности – Критериите за подбор или техническите спецификации са променени след отварянето на офертите или са приложени неправилно.</w:t>
        <w:tab/>
        <w:br/>
        <w:tab/>
        <w:t xml:space="preserve">При този извод за наличие на вменените нарушения следва да бъде анализиран и третият елемент от понятието за нередност по смисъла на Регламент 1303/2013 на Европейския парламент и на Съвета от 17 декември 2013 година за определяне на общоприложими разпоредби за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(ЕО) № 1083/2006 на Съвета (Регламент 1303/2013), а именно – вредата. Еднопосочна е практиката на Върховния административен съд и на Съда на Европейския съюз (СЕС), че нито националното законодателство, нито законодателството на Съюза поставят като изискване единствено наличието на реална вреда. Нередност може да съществува и тогава, когато е налице възможност за нанасянето на вреда на общия бюджет, като няма изискване да се докаже наличието на точно финансово изражение. Това тълкуване на разпоредбата на чл. 2, т. 36 Регламент № 1303/2013 е трайно установено по повод на идентичните дефиниции в Регламент № 2988/1995, Регламент № 1083/2006, както и други секторни регламенти (виж решение Ireland v Commission, С-199/03, EU: C: 2005:548, т. 31; решение Chambre LТIndrе, С-465/10, EU: C: 2011:867, т. 47; решение Firma, С-59/14, EU: C: 2015:660, т. 24; решение Wrocуaw, EU: C: 2016:562, т. 44). Настоящата инстанция счита, че в конкретния случай е налице потенциална възможност за нанасяне на вреда на бюджета на Съюза с оглед обстоятелството, че незаконосъобразният избор на изпълнител необосновано препятства сключването на договор с участник, чието предложение в най-пълна степен отговаря на поставените изисквания. По този начин е създадена вероятност за нецелесъобразно разходване на средствата, предоставени от бюджета на ЕС.</w:t>
        <w:tab/>
        <w:br/>
        <w:tab/>
        <w:t xml:space="preserve">Доколкото не може да се изключи възможността допуснатите нарушения да имат отражение върху бюджета на съответния фонд, то налице е основание за определяне на финансова корекция. За случаите на нередности по чл. 70, ал. 1, т. 9 ЗУСЕСИФ, попадащи в Приложение № 1 към чл. 2, ал. 1 Наредбата за посочване на нередности, законодателят е приел, че не е възможно да бъде определено количествено изражение на финансовите последици, т. е. не може да се установи размерът на реалните финансови последици върху изразходваните средства - допустимите разходи. Поради това и в съответствие с чл. 72, ал. 3 ЗУСЕСИФ е определил процентен показател спрямо засегнатите от нарушението разходи. Това означава, че законодателят е приел наличието на възможност за вреда на бюджета на Съюза винаги, когато са извършени визираните в Приложението към Наредбата нарушения, без да е необходимо за всяко нарушение да се установява точното количествено изражение на финансовите последици.</w:t>
        <w:tab/>
        <w:br/>
        <w:tab/>
        <w:t xml:space="preserve">В решението на РУО са изложени ясни и конкретни съображения за избрания процентен показател. В съответствие с действащата към датата на издаване на акта редакция на приложимата законова разпоредба на чл. 1, ал. 2 ЗУСЕСИФ е определена и основата на финансовата корекция.</w:t>
        <w:tab/>
        <w:br/>
        <w:tab/>
        <w:t xml:space="preserve">Следователно, като е изменил обжалвания административен акт, в частта относно размера на финансовата корекция, поради заключение за липса на нередност по т. 1.2. от същия, първоинстанционният съд е постановил неправилно решение, което следва да се отмени, а подадената първоинстанционна жалба срещу акта в тази част – да се отхвърли като неоснователна.</w:t>
        <w:tab/>
        <w:br/>
        <w:tab/>
        <w:t xml:space="preserve">При този изход на спора, претенцията на касатора за присъждане на разноски, представляващи заплатена държавна такса за образуването на производство пред Върховния административен съд в размер на 1700 лева и заплатено адвокатско възнаграждение, възлизащо на 5 786,30 лева е основателна и следва да бъде уважена, като община Свищов бъде осъдена да заплати на Министерството на регионалното развитие и благоустройството съдебни разноски в общ размер на 12 665,40 лева, в които е включена и сумата от 5 179,10 лева - дължима част до пълния размер на заплатения адвокатски хонорар в първоинстанционното производство (6473, 87 лева, от които се приспадат вече присъдените 1294,77 лева).</w:t>
        <w:tab/>
        <w:br/>
        <w:tab/>
        <w:t xml:space="preserve">Водим от горното и на основание чл. 221, ал. 2, предл. 2-ро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88/31.03.2021 г., постановено по адм. дело № 622/2020 г. по описа на Административен съд – Велико Търново, В ЧАСТТА, с която е изменено Решение № РД-02-36-1317 от 24.09.2020 г. на заместник-министъра на регионалното развитие и благоустройството и ръководител на Управляващия орган на Оперативна програма Региони в растеж, като е определен размера на финансовата корекция на 5% от стойността на допустимите разходи, финансирани от Европейските структурни и инвестиционни фондове по договор № 94-Д-508/BGRFOP001-1.036-0005-C01-S-1 от 18.07.2019 г., с изпълнител КОЕВ-СД ООД, и вместо него ПОСТАНОВЯВА:</w:t>
        <w:tab/>
        <w:br/>
        <w:tab/>
        <w:t xml:space="preserve">ОТХВЪРЛЯ жалбата на община Свищов, БУЛСТАТ[номер], със седалище в гр. Свищов, ул. Цанко Церковски № 2, представлявана от кмета Генчо Генчев, чрез адв. М. Янков, срещу Решение № РД-02-36-1317 от 24.09.2020 г. на заместник-министъра на регионалното развитие и благоустройството и ръководител на Управляващия орган на Оперативна програма Региони в растеж, В ЧАСТТА относно определения размер на финансова корекция от 25% върху допустимите разходи по договор BGRFOP001-1.036-0005-C01-S-1/18.07.2019 г. с изпълнител КОЕВ-СД ООД, на обща стойност 954 964, 65 лева без ДДС по Обособена позиция № 1.</w:t>
        <w:tab/>
        <w:br/>
        <w:tab/>
        <w:t xml:space="preserve">ОТМЕНЯ решение № 88/31.03.2021 г., постановено по адм. дело № 622/2020 г. по описа на Административен съд – Велико Търново, В ЧАСТТА, с която Министерството на регионалното развитие и благоустройството, със седалище в гр. София, ул. Кирил и Методий № 17-19, е осъдено да заплати на община Свищов, БУЛСТАТ[номер], със седалище в гр. Свищов, ул. Цанко Церковски № 2, съдебни разноски в размер на 6 954.81 (шест хиляди деветстотин петдесет и четири лева и осемдесет и една стотинки).</w:t>
        <w:tab/>
        <w:br/>
        <w:tab/>
        <w:t xml:space="preserve">ОСЪЖДА община Свищов, БУЛСТАТ[номер], със седалище в гр. Свищов, ул. Цанко Церковски № 2, да заплати на Министерството на регионалното развитие и благоустройството, със седалище в гр. София, ул. Кирил и Методий № 17-19, разноски в размер на 12 665,40 (дванадесет хиляди шестотин шестдесет и пет лева и четиридесет стотинки).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Ваня Анчева</w:t>
        <w:tab/>
        <w:br/>
        <w:tab/>
        <w:t xml:space="preserve">секретар: ЧЛЕНОВЕ:/п/ Даниела Мавродиева</w:t>
        <w:tab/>
        <w:br/>
        <w:tab/>
        <w:t xml:space="preserve">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