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№1546/05.02.2018 по адм. д. №8109/2016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Б. М. Х. против решение по адм. д.№ 66/ 2016 г. по описа на АС-Шумен. Иска отмяна на решението и уважаване на жалбата му с доводи, че съдът е тълкувал разширително закона, което има за последица ограничаване на правата му. Разпоредбата на чл.39, ал.1 от ЗГ е приложена с обратна сила, което е неправилно.</w:t>
        <w:tab/>
        <w:br/>
        <w:tab/>
        <w:t xml:space="preserve">Ответната страна изпълнителният директор на ИА по горите оспорва касационната жалба като неоснователна в писмена защита постъпила след приключване на съдебните прении.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чл.211 от АПК, намира същата за допустима. Разгледана по същество е неоснователна по следните съображения:</w:t>
        <w:tab/>
        <w:br/>
        <w:tab/>
        <w:t xml:space="preserve">С решение № 37/ 28 април 2016 г. по адм. д.№ 66/2016 г. по описа на АС-Шумен е отхвърлена жалбата на касационния жалбоподател против заповед №1014/ 23.12.2015 г. на ИД на ИАГ, с която на основание чл.239, ал.1, т. 4 от ЗГ (ЗАКОН ЗЗД ГОРИТЕ) е отписан от публичния регистър на физически лица за упражняване на лесовъдска практика и е обявено за невалидно удостоверение №[номер]/ 23.06.2014 г., ведно с всички права произтичащи от него.</w:t>
        <w:tab/>
        <w:br/>
        <w:tab/>
        <w:t xml:space="preserve">Решението е правилно и следва да се остави в сила .</w:t>
        <w:tab/>
        <w:br/>
        <w:tab/>
        <w:t xml:space="preserve">Жалбоподателят е вписан в публичния регистър към ИАГ по чл.235 от ЗГ (ЗАКОН ЗЗД ГОРИТЕ) за упражняване на частна лесовъдска практика, която включва посочените в чл.233 от ЗГ дейности и има удостоверение №[номер]/ 23.06.2014 г. Осъден е с присъда по НОХД 95/ 2010 г. по описа на РС Омуртаг, влязла в сила на 28.08.2014 г., за престъпление по чл. 235, ал. 1 вр. с чл.20, ал. 4 от НК за извършено престъпление в периода от 21 -25.05.2008 г. затова, че в условията на продължавано престъпление и в качеството му на помагач без редовно писмено позволително извозил от ОГФ имот кад № [номер] в землището на [населено място], [община], 305 пл. куб. м. от дървесни видове за обща стойност 11 578, 07 лв.</w:t>
        <w:tab/>
        <w:br/>
        <w:tab/>
        <w:t xml:space="preserve">Разпоредбата на чл.236 от ЗГ изисква лицата, които се вписват в публичния регистър за упражняване на лесовъдска практика да не са осъждани с влязла в сила присъда за престъпление, извършено при осъществяване на някоя от дейностите по чл. 233, ал. 1.В случая присъдата е влязла в сила след вписване на касационния жалбоподател в публичния регистър за упражняване на лесовъдска практика. Законодателят е уредил в чл.239, ал.1 основания, при наличието на които физическо лице, вписано в регистъра за упражняване на лесовъдска практика, се отписва. Съгласно чл.239, ал.1, т.4 от ЗГ когато с влязла в сила присъда лицето е осъдено за престъпление, извършено при упражняване на дейността, за която е регистрирано, то се отписва от регистъра. Основанието не поставя изискване престъплението да е извършено след регистрацията, а да е извършено при упражняване на някоя от дейностите по чл.233, ал.1 от ЗГ. Поради това е неоснователно оплакването, че административният орган, а после и съдът са приложили материалния закон с обратна сила. Като е отхвърлил жалбата съдът е постановил законосъобразно решение.</w:t>
        <w:tab/>
        <w:br/>
        <w:tab/>
        <w:t xml:space="preserve">Съгласно даденото в пар.1, т.21 от ДР на ЗГ определение за добив на дървесина, добивът е сеч и извоз на дървесина до временен склад. Лесовъдската практика по чл. 233, ал.1, т.4 от ЗГ е дейност по планиране и организация на добив на дървесина. Като е осъден за помагачество по извозване без редовно писмено позволително на дървесина, жалбоподателят попада в хипотезата на чл.239, ал.1, т. 4 от ЗГ.</w:t>
        <w:tab/>
        <w:br/>
        <w:tab/>
        <w:t xml:space="preserve">Тъй като писмената защита на ответника е постъпила в съда на 31.01.2018 г. в 14 ч., т. е. след приключване на съдебните прении по делото в 10.42 ч., доводите не следва да се обсъждат.</w:t>
        <w:tab/>
        <w:br/>
        <w:tab/>
        <w:t xml:space="preserve">Предвид изложеното и на основание чл.221, ал.2 от АПК, Върховният административен съд, пето отделение РЕШИ: </w:t>
        <w:tab/>
        <w:br/>
        <w:tab/>
        <w:t xml:space="preserve">ОСТАВЯ В СИЛА решение №37/ 28.04.2016 г. по адм. д.№ 66/2016 г. по описа на Административен съд-Шумен.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