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№1117/26.09.2017 по адм. д. №7588/2017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чл.216, ал.1 ЗОП във връзка с чл.208-228 АПК.</w:t>
        <w:tab/>
        <w:br/>
        <w:tab/>
        <w:t xml:space="preserve">Образувано е по касационна жалба на П. Д. Д.-Х., в качеството й на законен представител на [фирма], [населено място], срещу решение № 523 от 16.05.2017 г. на Комисията за защита на конкуренцията (КЗК), постановено по преписка № КЗК-91 от 2017 г. С него КЗК е оставил без уважение жалбата на касатора в настоящото производство срещу решение № РП-46 от 14.12.2016 г. на кмета на община Б.д, с което е открита процедурата за възлагане на обществена поръчка. Със същото решение искането на [фирма] за възлагане на направените от него разноски е оставено без уважение. На него са му възложени разноските, направени от кмета на община Б.д, представляващи юрисконсултско възнаграждение, в размер на 200 лв.</w:t>
        <w:tab/>
        <w:br/>
        <w:tab/>
        <w:t xml:space="preserve">В касационната жалба се навеждат доводи за неправилност на обжалваното решение. По всеки един пункт от първоначалната жалба, по който КЗК е изразила становището си се сочи несъгласие. От изложеното в обстоятелствената част на жалбата може да се изведе касационно основание за отмяна – допуснато нарушение на материалния закон. По изложените съображения касаторът моли, решението на КЗК да се отмени, като се отмени и решението на възложителя за откриване на процедурата за възлагане на обществената поръчка. Претендира присъждане на разноските направени пред КЗК и пред съда. Същевременно прави възражение за прекомерност на юрисконсултското възнаграждение в условията на евентуалност. Ответната страна КЗК не взема становище.</w:t>
        <w:tab/>
        <w:br/>
        <w:tab/>
        <w:t xml:space="preserve">Ответникът кметът на община Б.д, чрез процесуалния си представител А. М., взема становище за неоснователност на касационната жалба. Подробни съображения излага в представените писмени бележки. Ответникът по касация претендира присъждане на юрисконсултско възнаграждение в размер на 300 лв. по представения списък на разноските.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счита, решението на КЗК за правилно, обосновано и постановено в съответствие с материалния закон, поради което не намира основания за неговата касационна отмяна.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срещу неблагоприятен за нея правораздавателен акт и в срока по чл.216, ал.1 ЗОП. Разгледана по същество касационната жалба е неоснователна, по следните съображения:</w:t>
        <w:tab/>
        <w:br/>
        <w:tab/>
        <w:t xml:space="preserve">От данните по делото се установява, че кметът на община Б.д, действащ като възложител, на основание чл.73, ал.1 във връзка с чл.18, ал.1, т.1 ЗОП, с решение № РП-46 от 14.12.2016 г. е открил „открита“ по вид процедура за възлагане на обществена поръчка с предмет: „Обновяване и облагородяване на площад Г. И-Македончето“, Реконструкция на площадното, подплощадното пространство и фонтаните, художествено осветление в централна градско част между сградите на Общинска администрация-Благоевград, [ЮЛ] , Регионална здравна инспекция, сградата на [ЮЛ] в България и хотел [наименование]</w:t>
        <w:tab/>
        <w:br/>
        <w:tab/>
        <w:t xml:space="preserve">по Процедура за директно предоставяне на безвъзмездна финансова помощ BG16RFOP001-1.008 „Изпълнение на интегрирани планове за градско възстановяване и развитие 2014-2020-Благоевград“, Приоритетна ос 1 „Устойчиво и интегрирано градско развитие“, проектно предложение BG16RFOP001-1.008-0004 „Благоустрояване на градска среда“ по Оперативна програма „Региони в растеж“ 2014-2020 г., одобрен за предоставяне на безвъзмездна финансова помощ с Решение № РД-02-36-1355 от 8.11.2016 г. на Ръководителя на УО на ОПРР, с наименование на проектното предложение „Благоустрояване на градската среда“. Административен договор за предоставяне на безвъзмездна финансова помощ, BG16RFOP001-1.008-0004-С01 от 18.11.2016 г.“ С решението за откриване на процедурата възложителят е одобрил обявлението и документацията за участие в обществената поръчка.</w:t>
        <w:tab/>
        <w:br/>
        <w:tab/>
        <w:t xml:space="preserve">Решението на възложителя за откриването на процедурата е било обжалвано от [фирма] с твърдения за незаконосъобразност и допуснати съществени нарушения. За тяхното обосноваване жалбоподателят е посочил, че в обявлението за обществена поръчка не е била определена гаранция за авансово представените средства, което било в нарушение на чл.111, ал.4 ЗОП. Твърдял е освен това, че в обявлението за обществената поръчка в раздел III.1.3) „Технически и професионални възможности“, изискваното минимално ниво за доказване на критериите за подбор, е било посочено, че участникът следва да е изпълнил през последните пет години, от датата на подаване на офертата, минимум две дейности с предмет и обем, идентични или сходни с предмета на обществената поръчка, като е обяснено какво се има предвид под сходен предмет. За доказване на извършеното строителство възложителят е изискал посочване на удостоверения за добро изпълнение, които съдържат стойността, датата, на която е приключило изпълнението, мястото вида и обема, както и дали е изпълнено в съответствие с нормативните изисквания. Представянето на това удостоверение, според жалбоподателя не е било в съответствие с изискването на чл.64, ал.1 ЗОП, тъй като такова удостоверение за добро изпълнение било предвидено в отменения ЗОП, като в този смисъл тази част от обявлението е била незаконосъобразна. На следващо място жалбоподателят е твърдял, че в обявлението, в същия раздел III.1.3) „Технически и професионални възможности“, възложителят е поставил изискване към участникът да разполага с ръководно-експертен екип за изпълнение на поръчката и работници, както и със собствено или наето оборудване. В обявлението и документацията за участие не са били посочени документите, с които се доказва изпълнението на това изискване, което е било в нарушение на чл.59, ал.5 ЗОП. На последно място [фирма] е твърдяло, че между обявлението и документацията за участие в обществената поръчка е имало несъответствие относно срока за изпълнението й. В обявлението предвиденият срок е бил 240 календарни дни, докато в Техническата спецификация срокът за изпълнението на всички СМР е бил 9 месеца. Това разминаване не давало възможност за изготвяне на коректно техническо предложение. Разминаването свързано с посочването на различни срокове било незаконосъобразно, което трябвало да доведе до прекратяване на процедурата.</w:t>
        <w:tab/>
        <w:br/>
        <w:tab/>
        <w:t xml:space="preserve">КЗК след излагане на фактите по спора и точно описание на съдържанието на обявлението и документацията за участие, включително и разяснения, дадени на основание чл.33, ал.2 ЗОП от възложителя, е обсъдила всяко едно от възраженията, съдържащи се в жалбата. Относно първият довод за непосочване в обявлението за размер на гаранция за авансово представените средства, КЗК е направила правен извод, че въпреки изискването на чл.114, ал.4 ЗОП допуснатото нарушение не е съществено, защото в документацията за участие се съдържа достатъчно информация за гаранцията за авансово представените средства, за нейния размер, условията за нейното представяне, задържане и усвояване, или връщане, поради което за потенциалните участници е било възможно да се запознаят с нея, в случай че решат да използват авансово представени средства. В документацията за участие се съдържа Образец № 8, в който е посочено съдържанието на Банкова гаранция за изпълнение на договор и Банкова гаранция за авансово представените средства. Освен това в отговорите си на поставени въпроси във връзка с гаранцията за авансово преведени средства възложителят е дал разяснения на участниците относно различните видове гаранции, посочил е допуснатата техническа грешка, както и размера на банковата гаранция за авансово предоставените средства. Тези разяснения са станали част от документацията за участие и съответно задължителни за изпълнение от потенциалните участници.</w:t>
        <w:tab/>
        <w:br/>
        <w:tab/>
        <w:t xml:space="preserve">Относно вторият довод на [фирма] за изискваното от възложителя удостоверение за добро изпълнение, относно доказване на техническите и професионални възможности на участника – минимално изискване, КЗК е посочила, че освен съдържанието на удостоверението за добро изпълнение, е следвало попълването на ЕЕДОП, част IV: „Критерии за подбор“, Раздел В: „Технически и професионални способности“, т.1а) от него. При преценката от правна страна на фактическите установявания, КЗК е съобразила чл.67, ал.1 ЗОП, според който при подаване на заявление за участие или оферта, кандидатът или участникът задължително следва да декларира липсата на основания за отстраняване и съответствието си с критериите за подбор, чрез представянето на единен европейски документ за обществени поръчки (ЕЕДОП). КЗК е анализирала съдържанието на ЕЕДОП като е направила извод, че по своята същност той представлява универсална лична декларация, в която кандидатите, участниците, подизпълнителите и третите лица трябва да посочат обстоятелствата, касаещи личното им състояние и съответствието им с критериите за подбор. Тази декларация обхваща всички аспекти, свързани с допускането на кандидатите или участниците до следващия етап на процедурата-разглеждане на техническото им предложение. Относно този извод КЗК се е позовала и на чл.39, ал.2 и чл.47, ал.3 ППЗОП, в които е посочено какво включва заявлението за участие и опаковката – включените документи за участие. С посоченото изискване чрез указване на коя част от ЕЕДОП следва да се попълни, възложителят не е изискал представяне на удостоверението за добро изпълнение към ЕЕДОП, а само да го посочи, поради което твърдението за допуснато нарушение по чл.59, ал.5 и чл.64, ал.1 ЗОП е възприето за неоснователно.</w:t>
        <w:tab/>
        <w:br/>
        <w:tab/>
        <w:t xml:space="preserve">Следващото твърдение на [фирма] за допуснатото нарушение от възложителя по чл.59, ал.5 ЗОП, че в раздел III.1.3) „Техническите и професионални възможности“ от обявлението, възложителят е поставил изискване участникът да разполага с експертен екип за изпълнение на поръчката и необходимия брой работници, притежанието на собствено и наето оборудване, без да е посочил документите, с които се доказва изпълнението на това изискване, също е възприето за неоснователно. От фактическите установявания КЗК е приела, че наличието на това изискване се доказва не чрез представянето на документи, а чрез попълването на Част IV: „Критерии за подбор“, Раздел В: „Технически и професионални способности“, т.2) и т.3) от ЕЕДОП. Изложените мотиви в тази част препращат към предходните, относно значението на ЕЕДОП.</w:t>
        <w:tab/>
        <w:br/>
        <w:tab/>
        <w:t xml:space="preserve">Последното твърдение относно различието в сроковете за изпълнение на обществената поръчка, съдържащи се в обявлението раздел II.2.7) – срок от 240 календарни дни и раздел XIV от Техническата спецификация, в който е посочено, че срокът за изпълнение на всички СМР е 9 месеца, също е преценено като неоснователно. КЗК се е позовала на раздел III „Описание на предмета на поръчката“ от документацията за участие, в който също е посочено че срокът за изпълнение на строителството не следва да бъде по-дълъг от 240 календарни дни, като този срок се посочва от участника в Техническата оферта към поръчката и в Линейния график на строителството, част от нея. От това е направен правен извод, свързан и с т.6 „Етични клаузи“ от документацията за участие, в които е посочен приоритета на документите, в случай на противоречие, като обявлението на обществена поръчка е на второ място и преди документацията за участие, която е поставена на четвърто място. Поради това крайният извод е, че за участниците е било достатъчно ясно какъв е срокът за изпълнение на обществената поръчка.</w:t>
        <w:tab/>
        <w:br/>
        <w:tab/>
        <w:t xml:space="preserve">Като краен правен извод, КЗК е приела на основание чл.215, ал.2, т.1 ЗОП жалбата за неоснователна, поради което я е оставила без уважение.</w:t>
        <w:tab/>
        <w:br/>
        <w:tab/>
        <w:t xml:space="preserve">Постановеното решение е правилно. Трябва да се посочи, че несъгласието с изводите на КЗК, изразено в касационната жалба, не води до незаконосъобразност на решението. В касационната жалба се повтарят изцяло доводите, изложени пред КЗК, съдържащи се в първоначалната жалба. На тях КЗК е отговорила, като правните й изводи се споделят от настоящия състав.</w:t>
        <w:tab/>
        <w:br/>
        <w:tab/>
        <w:t xml:space="preserve">Относно гаранцията за авансово представени средства, за която в обявлението не се съдържа информация, правилно е установено, че от документацията за участие, представените образец № 8 от нея, съдържащ както Банкова гаранция за изпълнение, така също и Банкова гаранция за авансово представени средства, включително и дадените разяснения от възложителя, с които е отстранена допусната грешка в документацията, не представлява съществено нарушение на материалния закон. Всеки от потенциалните участници е могъл да се запознае с документацията и дадените разяснения и в случай, че реши да използва авансово представени средства е узнал за размера на гаранцията им. Освен това разясненията на възложителя по чл.33, ал.2 ЗОП в тази връзка са станали неразделна част от обявлението и документацията за участие, поради което доводът в касационната жалба по този пункт е неоснователен.</w:t>
        <w:tab/>
        <w:br/>
        <w:tab/>
        <w:t xml:space="preserve">Следващият довод в касационната жалба е за допуснато нарушение по чл.59, ал.5 ЗОП, поради това, че в раздел III.1.3) „Техническите и професионални възможности“, изискваното минимално ниво за доказване на опит не са били посочени документите, с които се доказва изпълнението на минималното изискване. Както вече се каза, възложителят в обявлението е въвел изискване за посочване на удостоверение за добро изпълнение, с предвиденото съдържание, като е посочено и коя част от ЕЕДОП следва да се попълни. Самото удостоверение за добро изпълнение, като документ не е предвидено да се представи при подаване на заявлението за участие, а само посочването му в ЕЕДОП. Освен това удостоверението за добро изпълнение фигурира като документ в чл.64, ал.1, т.1 ЗОП. Поради това и този довод на касатора е неоснователен. Същите мотиви за неоснователност на допуснато нарушение по чл.59, ал.5 ЗОП във връзка с непосочване на документите в обявлението, чрез които се доказва изискването за наличие на ръководен, експертен екип и работници за изпълнението на поръчката, както и притежаването на механизация и оборудване са относими към следващия довод в касационната жалба. Възложителят е изискал деклариране, посочване на обстоятелствата свързани с критериите за подбор, а не посочване на документи, чрез които те да се докажат. Несъответствието на декларираните обстоятелства и представените документи, по реда на чл.67, ал.6 във връзка с чл.112, ал.1 т.2 ЗОП е за сметка на избрания за изпълнител.</w:t>
        <w:tab/>
        <w:br/>
        <w:tab/>
        <w:t xml:space="preserve">Последният довод във връзка с различния срок за изпълнението на поръчката, посочен в обявлението и техническата спецификация е също неоснователен, с оглед на Етичните клаузи, съдържащи се в документацията за участие. В тях са подредени по степен на важност документите, издадени от възложителя, като изрично е уточнено, че приоритет има обявлението за участие, поради което за всички потенциални участници е станал достояние срокът за изпълнение на обществената поръчка в рамките на 240 календарни дни, който срок е заложен и в техническата оферта и линейния график за изпълнение на строителните дейности, който е част от техническата оферта.</w:t>
        <w:tab/>
        <w:br/>
        <w:tab/>
        <w:t xml:space="preserve">По тези съображения касационната жалба е неоснователна, а решението на КЗК като правилно и законосъобразно следва да бъде потвърдено.</w:t>
        <w:tab/>
        <w:br/>
        <w:tab/>
        <w:t xml:space="preserve">Искането на касатора за присъждане на направените разноски, с оглед на изхода на спора, следва да се остави без уважение.</w:t>
        <w:tab/>
        <w:br/>
        <w:tab/>
        <w:t xml:space="preserve">Искането на кмета на община Б.д за присъждане на разноски е основателно, но до размера предвиден в Наредба за заплащането на правната помощ. С изменението на чл.78, ал.8 ГПК, обн. в ДВ, бр.8 от 24.01.2017 г. относно размера на юрисконсултското възнаграждение, законодателят е направил препращане към чл.37 от ЗПрП (ЗАКОН ЗЗД ПРАВНАТА ПОМОЩ). Той от своя страна препраща към Наредба за заплащането на правната помощ в чийто чл.24 е посочен минималния и максимален размер на възнаграждението по административни дела. Поради това нормативно ограничение касаторът ще следва да заплати на община Б.д разноски, представляващи юрисконсултско възнаграждение в размер на 200 лв.</w:t>
        <w:tab/>
        <w:br/>
        <w:tab/>
        <w:t xml:space="preserve">Воден от горното и на основание чл.216, ал.1 ЗОП във връзка с чл.221, ал.2, предложение първо АПК, Върховният административен съд,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523 от 16.05.2017 г. на Комисията за защита на конкуренцията, постановено по преписка № КЗК-91 от 2017 г.</w:t>
        <w:tab/>
        <w:br/>
        <w:tab/>
        <w:t xml:space="preserve">ОСТАВЯ без уважение искането на [фирма] за присъждане на направените разноски.</w:t>
        <w:tab/>
        <w:br/>
        <w:tab/>
        <w:t xml:space="preserve">ОСЪЖДА [фирма], с[ЕИК] да заплати на община Б.д разноски в размер на 200 (двеста) лева.</w:t>
        <w:tab/>
        <w:br/>
        <w:tab/>
        <w:t xml:space="preserve">ОСТАВЯ без уважение искането на кмета на община Б.д за присъждане на разноски за разликата от 200 до 300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