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№5006/04.04.2023 по търг. д. №2347/2020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50061София, 04.04.2023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Второ отделение, в закрито заседание на двадесет и девети март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2347/2020 г.</w:t>
        <w:tab/>
        <w:br/>
        <w:tab/>
        <w:t xml:space="preserve"/>
        <w:tab/>
        <w:br/>
        <w:tab/>
        <w:t xml:space="preserve">С определение № 131 от 10.05.2022 г. производството по настоящото дело е спряно на основание чл. 292 ГПК и е предложено на Общото събрание на Търговска колегии на ВКС да постанови тълкувателно решение по въпроса: Основание ли е за спиране по реда на чл. 229, ал. 1, т. 4 ГПК на производството по искове с правно основание чл. 57 ЗПрД във връзка с нарушение на правата върху промишлен дизайн наличието на висящо пред административен съд производство по обжалване на решението на Председателя на Патентно ведомство на Р. Б за заличаване на регистрацията на същия промишлен дизайн.</w:t>
        <w:tab/>
        <w:br/>
        <w:tab/>
        <w:t xml:space="preserve"/>
        <w:tab/>
        <w:br/>
        <w:tab/>
        <w:t xml:space="preserve">С оглед приключването на образуваното в тази връзка тълкувателно дело № 2/2022 г. на ОСТК на ВКС с постановяване на Тълкувателно решение № 2/2022 от 14.03.2023 г. на ОСТК на ВКС, следва да се приеме, че са налице предпоставките за възобновяване на производството по т. д. № 2347/2020 г.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т. д. № 2347/2020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Делото да се докладва на Председателя на Второ отделение при Търговска колегия на Върховен касационен съд за насрочване.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