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№6125/14.06.2007 по адм. д. №7666/2006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връзка с чл. 43, ал. 1 от Закона за защита на конкуренцията (ЗЗК).</w:t>
        <w:tab/>
        <w:br/>
        <w:tab/>
        <w:t xml:space="preserve">Образувано е по жалба на "АДИС" ЕООД гр. С. срещу Решение № 152 от 04.07.2006 г. на Комисията за защита на конкуренцията, постановено по преписка № 258/2005 г., с което на дружеството са наложени имуществени санкции в размер на по 30 000 лева за извършени нарушения по чл. 18 и чл. 18, т. 5 от ЗЗК. Излагат се подробни съображения за незаконосъобразност на оспореното решение и се иска отмяната му.</w:t>
        <w:tab/>
        <w:br/>
        <w:tab/>
        <w:t xml:space="preserve">Ответникът КЗК моли жалбата да се отхвърли като неоснователна.</w:t>
        <w:tab/>
        <w:br/>
        <w:tab/>
        <w:t xml:space="preserve">Явилите се по делото заинтересовани страни - председатели на етажни собствености, поддържат становище за потвърждаване на обжалваното решение на комисията.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подадената жалба.</w:t>
        <w:tab/>
        <w:br/>
        <w:tab/>
        <w:t xml:space="preserve">За да се произнесе, Върховният административен съд, състав на пето отделение, съобрази следното:</w:t>
        <w:tab/>
        <w:br/>
        <w:tab/>
        <w:t xml:space="preserve">Пред КЗК първоначално е била образувана преписка № 67/05.03.2004 г. по сигнал на граждани, живущи в блокове на ул. "Б"АДИС" ЕООД доставя и отчита топлоенергията, подавана към жилищата им от локалната отоплителна централа, която е собственост на дружеството и е изградена в близост до блоковете. Оплакванията касаят периода от месец ноември 2002 г. до месец декември 2003 година. По тази преписка КЗК е постановила решение № 64/01.03.2005 г., с което е приела за извършени от дружеството нарушения по чл. 18, т. 1 и 5 от ЗЗК и му е наложила имуществена санкция от 8 000 лева. Това решение обаче е отменено с решение № 9343/25.10.2005 г., постановено по адм. дело № 3461/2005 г. на ВАС, пето отделение, което е влязло в сила като необжалвано. Настоящото решение на КЗК всъщност се явява второто поред решение по същия спор, с който комисията е била вече сезирана от групата граждани. Същото съдържа пространна фактология и подробна аргументация, което мотивира съдът да акцентира само върху съществените моменти, релевантни за изхода на делото.</w:t>
        <w:tab/>
        <w:br/>
        <w:tab/>
        <w:t xml:space="preserve">Преди да прехвърли собствеността върху процесната централа на друго дружество с договор от 15.10.2004 г., жалбоподателят е стопанисвал същата в периода, засегнат в сигнала на гражданите, като е осъществявал дейностите по производство, пренос и продажба на топлинна енергия за битови нужди в конкретния район на София. Безспорно доказано е господстващото положение на дружеството на този продуктов и географски пазар, тъй като то е единствен доставчик (без възможност за избор на алтернативен такъв) на централизирано подаване на топлоенергия (парно отопление и топла вода). Спорното е дали е налице злоупотреба с това господстващо положение, която да се обхваща от хипотезите на чл. 18 от ЗЗК, за да е налице основание КЗК да санкционира дружеството като нарушител.</w:t>
        <w:tab/>
        <w:br/>
        <w:tab/>
        <w:t xml:space="preserve">За да достигне до такъв извод, комисията е приела за установено от обективна страна следното:</w:t>
        <w:tab/>
        <w:br/>
        <w:tab/>
        <w:t xml:space="preserve">Дейностите по производство и пренос на топлинна енергия за битово потребление подлежат на задължително лицензиране от ДКЕВР, като в процесния период "АДИС "ЕООД нито е притежавало, нито е кандидатствало за издаването на необходимите му лицензии. Освен това, при осъществяването на дейността си по централизирано подаване и продажба на топлинна енергия, дружеството не се съобразявало с разпоредбата на чл. 106а, ал. 1 от ЗЕЕЕ отм. , преповторена в чл. 150, ал. 1 от ЗЕ, която предвижда, че продажбата на топлинна енергия на потребители за битови нужди, вкл. за общите части в сгради - етажна собственост, се осъществява при публично известни общи условия, предложени от топлопреносното предприятие и одобрени от ДКЕВР. Тези условия определят правата и задълженията на топлопреносното предприятие и потребителите; редът за измерване, отчитане, разпределение и заплащане на топлинната енергия; отговорността при неизпълнение на задълженията; редът и условията за включване, прекъсване и прекратяване на топлоснабдяването; редът за осигуряване на достъп до отоплителните тела, средствата за търговско измерване или други контролни приспособления. Нещо повече, не е имало и сключени в писмена форма договори с абонатите, които са били в неведение за регламента на правоотношенията си с доставчика, като това положение не е могло да бъде властнически регулирано от ДКЕВР поради факта, че "АДИС" ЕООД не е имал качеството на лицензиант. Освен тази липса на прозрачност и яснота, сама по себе си увреждаща интересите на потребителите, конкретен пример за сериозно увреждане е въведената от дружеството в края на 2003 г. нова методика за разпределение на доставената топлинна енергия и за формиране на индивидуалните сметки, чийто размер е бил увеличен с близо 100 %. Изходна база за изчисления при тази методика е количеството произведена топлинна енергия от централата за съответния месец, без да се вземат предвид показанията на топломерите във всеки обект, измерващи реално потребената топлоенергия. Така консуматорите поемат за своя сметка и технологичните загуби на топлинна енергия при преноса й, а индивидуалните им сметки пък се определят съобразно заявената от потребителя отопляема кубатура, без да се отчита специфичното за всяко жилище месечно потребление. Установено е също така, че при неплащане на задължението си на така определената цена на доставената топлинна енергия, върху нея дружеството е начислявало неустойка в размер на 0.1 % за всеки просрочен ден. И на последно място, въпреки писмото на етажните собственици, в което изразяват готовността си за преминаване към дялово разпределение на топлинната енергия, до края на процесния период "АДИС" ЕООД не е предприело нищо за въвеждане на системата на "топлинно счетоводство" в отопляваните от него сгради, без да обоснове бездействието си по обсъждането на този въпрос и сключването на договор.</w:t>
        <w:tab/>
        <w:br/>
        <w:tab/>
        <w:t xml:space="preserve">При така установената фактическа обстановка, КЗК е приела, че е налице експлоатативна злоупотреба с господстващо положение по смисъла на чл. 18 и чл. 18, т. 5 от ЗЗК</w:t>
        <w:tab/>
        <w:br/>
        <w:tab/>
        <w:t xml:space="preserve">Решението на регулаторния орган съдът счита за законосъобразно и обосновано.</w:t>
        <w:tab/>
        <w:br/>
        <w:tab/>
        <w:t xml:space="preserve">Очевидно е, че методиката за формиране на сметките на потребителите е довела до налагане на продажни цени на доставената топлинна енергия, за чието образуване действителните разходи на дружеството и желаната от него норма на печалба от процесната дейност нямат никакво значение. Така прилаганата цена, отразена във фактурите на консуматорите, не се явява пазарна и обвързана със себестойността на доставката, а фиктивно определена, каквото е и заключението на назначената от съда техническа експертиза. Така че ирелевантно е обстоятелството, че производствената себестойност според икономическата експертиза е по-висока, което обезмисля обсъждането на по-голямата част от оплакванията на жалбоподателя, с които се акцентира върху указанията, дадени с отменителното решение на предходния тричленен състав. Заради цялото противоправно поведение на жалбоподателя при осъществяването на дейността по производство и пренос на топлинна енергия за битови нужди, чиито конкретни проявни форми вече се посочиха (липса на лицензия, неформални договори с потребителите при липса на общи условия, налагане на необосновани елементи в цената, поставяне на потребителите в неравностойно положение едни спрямо други, начисляване на недължими неустойки на неизправните длъжници), както и заради необоснования отказ да се преговаря по сключването на договор за преминаване към дялово разпределение, съдът също квалифицира това поведение като експлоатативна злоупотреба с господстващо положение. Правилно то е определено от комисията като съставомерно както по общия текст на чл. 18 от ЗЗК, така и по чл. 18, т. 5 от ЗЗК. Като споделя изложените от КЗК мотиви, без да е необходимо да ги преповтаря, съдът счита, че жалбата на "АДИС" ЕООД е неоснователна и като такава следва да се отхвърли.</w:t>
        <w:tab/>
        <w:br/>
        <w:tab/>
        <w:t xml:space="preserve">Що се касае до размера на наложените имуществени санкции, които са определени при спазване на разпоредбата на чл. 59, ал. 1 от ЗЗК и методиката на комисията, в решението са изложени подробни съображения, които съдът също възприема.</w:t>
        <w:tab/>
        <w:br/>
        <w:tab/>
        <w:t xml:space="preserve">Водим от горното и на основание чл. 172, ал. 2, предл. последно от АПК, Върховният административен съд, пето отделение РЕШИ:</w:t>
        <w:tab/>
        <w:br/>
        <w:tab/>
        <w:t xml:space="preserve">ОТХВЪРЛЯ жалбата на "АДИС" ЕООД гр. С. срещу Решение № 152 от 04.07.2006 г. на Комисията за защита на конкуренцията, постановено по преписка № 258/2005 г., с което на дружеството са наложени имуществени санкции в размер на по 30 000 лева за извършени нарушения по чл. 18 и чл. 18, т. 5 от ЗЗК.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съобщението за изготвянето му. Вярно с оригинала, ПРЕДСЕДАТЕЛ: /п/ Д. Д. секретар: ЧЛЕНОВЕ: /п/ М. М./п/ И. Д.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